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3D4B5" w14:textId="6E35A363" w:rsidR="00244745" w:rsidRPr="009F503C" w:rsidRDefault="00244745" w:rsidP="00244745">
      <w:pPr>
        <w:shd w:val="clear" w:color="auto" w:fill="FFFFFF"/>
        <w:jc w:val="center"/>
        <w:rPr>
          <w:rFonts w:eastAsia="Times New Roman"/>
          <w:b/>
          <w:bCs/>
          <w:color w:val="000000"/>
          <w:u w:val="single"/>
        </w:rPr>
      </w:pPr>
      <w:r w:rsidRPr="009F503C">
        <w:rPr>
          <w:rFonts w:eastAsia="Times New Roman"/>
          <w:b/>
          <w:bCs/>
          <w:color w:val="000000"/>
          <w:u w:val="single"/>
        </w:rPr>
        <w:t xml:space="preserve">Memorandum of Understanding for </w:t>
      </w:r>
      <w:r w:rsidR="00F83A01">
        <w:rPr>
          <w:rFonts w:eastAsia="Times New Roman"/>
          <w:b/>
          <w:bCs/>
          <w:color w:val="000000"/>
          <w:u w:val="single"/>
        </w:rPr>
        <w:t>Apartment Shelter Project</w:t>
      </w:r>
    </w:p>
    <w:p w14:paraId="7E63F75F" w14:textId="4FEEEE0F" w:rsidR="00FE31CB" w:rsidRPr="009F503C" w:rsidRDefault="00244745" w:rsidP="00244745">
      <w:pPr>
        <w:shd w:val="clear" w:color="auto" w:fill="FFFFFF"/>
        <w:jc w:val="center"/>
        <w:rPr>
          <w:rFonts w:eastAsia="Times New Roman"/>
          <w:b/>
          <w:bCs/>
          <w:color w:val="000000"/>
          <w:u w:val="single"/>
        </w:rPr>
      </w:pPr>
      <w:r w:rsidRPr="009F503C">
        <w:rPr>
          <w:rFonts w:eastAsia="Times New Roman"/>
          <w:b/>
          <w:bCs/>
          <w:color w:val="000000"/>
          <w:u w:val="single"/>
        </w:rPr>
        <w:t xml:space="preserve">Between Family Promise of Greater Indianapolis and </w:t>
      </w:r>
      <w:r w:rsidR="00A512A7">
        <w:rPr>
          <w:rFonts w:eastAsia="Times New Roman"/>
          <w:b/>
          <w:bCs/>
          <w:color w:val="000000"/>
          <w:u w:val="single"/>
        </w:rPr>
        <w:t>Mustard Seed of Central Indiana</w:t>
      </w:r>
    </w:p>
    <w:p w14:paraId="5C15ECA0" w14:textId="77777777" w:rsidR="00FE31CB" w:rsidRPr="009F503C" w:rsidRDefault="00FE31CB" w:rsidP="00FE31CB">
      <w:pPr>
        <w:shd w:val="clear" w:color="auto" w:fill="FFFFFF"/>
        <w:rPr>
          <w:rFonts w:eastAsia="Times New Roman"/>
          <w:color w:val="000000"/>
        </w:rPr>
      </w:pPr>
    </w:p>
    <w:p w14:paraId="50238C5E" w14:textId="1037F8D1" w:rsidR="00FE31CB" w:rsidRPr="009F503C" w:rsidRDefault="0087267D" w:rsidP="009F503C">
      <w:pPr>
        <w:shd w:val="clear" w:color="auto" w:fill="FFFFFF"/>
        <w:spacing w:line="276" w:lineRule="auto"/>
        <w:rPr>
          <w:rFonts w:eastAsia="Times New Roman"/>
          <w:color w:val="000000"/>
        </w:rPr>
      </w:pPr>
      <w:r w:rsidRPr="009F503C">
        <w:rPr>
          <w:rFonts w:eastAsia="Times New Roman"/>
          <w:color w:val="000000"/>
        </w:rPr>
        <w:t>This Memorandum of Understanding</w:t>
      </w:r>
      <w:r w:rsidR="00557A16" w:rsidRPr="009F503C">
        <w:rPr>
          <w:rFonts w:eastAsia="Times New Roman"/>
          <w:color w:val="000000"/>
        </w:rPr>
        <w:t xml:space="preserve"> (“MOU”)</w:t>
      </w:r>
      <w:r w:rsidRPr="009F503C">
        <w:rPr>
          <w:rFonts w:eastAsia="Times New Roman"/>
          <w:color w:val="000000"/>
        </w:rPr>
        <w:t xml:space="preserve"> sets forth the terms and understanding between </w:t>
      </w:r>
      <w:r w:rsidR="00FE31CB" w:rsidRPr="00316295">
        <w:rPr>
          <w:rFonts w:eastAsia="Times New Roman"/>
          <w:b/>
          <w:bCs/>
          <w:color w:val="000000"/>
        </w:rPr>
        <w:t>Family Promise of Greater Indianapolis</w:t>
      </w:r>
      <w:r w:rsidR="00A512A7">
        <w:rPr>
          <w:rFonts w:eastAsia="Times New Roman"/>
          <w:b/>
          <w:bCs/>
          <w:color w:val="000000"/>
        </w:rPr>
        <w:t>, Inc.</w:t>
      </w:r>
      <w:r w:rsidR="00FE31CB" w:rsidRPr="009F503C">
        <w:rPr>
          <w:rFonts w:eastAsia="Times New Roman"/>
          <w:color w:val="000000"/>
        </w:rPr>
        <w:t xml:space="preserve"> (“</w:t>
      </w:r>
      <w:r w:rsidR="00A512A7">
        <w:rPr>
          <w:rFonts w:eastAsia="Times New Roman"/>
          <w:color w:val="000000"/>
        </w:rPr>
        <w:t>Shelter Provider</w:t>
      </w:r>
      <w:r w:rsidR="00FE31CB" w:rsidRPr="009F503C">
        <w:rPr>
          <w:rFonts w:eastAsia="Times New Roman"/>
          <w:color w:val="000000"/>
        </w:rPr>
        <w:t>”)</w:t>
      </w:r>
      <w:r w:rsidRPr="009F503C">
        <w:rPr>
          <w:rFonts w:eastAsia="Times New Roman"/>
          <w:color w:val="000000"/>
        </w:rPr>
        <w:t xml:space="preserve">, and </w:t>
      </w:r>
      <w:r w:rsidR="00A512A7">
        <w:rPr>
          <w:rFonts w:eastAsia="Times New Roman"/>
          <w:b/>
          <w:bCs/>
          <w:color w:val="000000"/>
        </w:rPr>
        <w:t>The Mustard Seed of Central Indiana, Inc.</w:t>
      </w:r>
      <w:r w:rsidRPr="009F503C">
        <w:rPr>
          <w:rFonts w:eastAsia="Times New Roman"/>
          <w:color w:val="000000"/>
        </w:rPr>
        <w:t xml:space="preserve"> (“</w:t>
      </w:r>
      <w:r w:rsidR="00A512A7">
        <w:rPr>
          <w:rFonts w:eastAsia="Times New Roman"/>
          <w:color w:val="000000"/>
        </w:rPr>
        <w:t>Furniture Bank</w:t>
      </w:r>
      <w:r w:rsidRPr="009F503C">
        <w:rPr>
          <w:rFonts w:eastAsia="Times New Roman"/>
          <w:color w:val="000000"/>
        </w:rPr>
        <w:t xml:space="preserve">”) </w:t>
      </w:r>
      <w:r w:rsidR="009A2EE5" w:rsidRPr="009F503C">
        <w:rPr>
          <w:rFonts w:eastAsia="Times New Roman"/>
          <w:color w:val="000000"/>
        </w:rPr>
        <w:t xml:space="preserve">regarding the rules, regulations, expectations, and limitations of the </w:t>
      </w:r>
      <w:r w:rsidR="00A512A7">
        <w:rPr>
          <w:rFonts w:eastAsia="Times New Roman"/>
          <w:b/>
          <w:bCs/>
          <w:color w:val="000000"/>
        </w:rPr>
        <w:t>Apartment Shelter Project</w:t>
      </w:r>
      <w:r w:rsidR="009A2EE5" w:rsidRPr="00316295">
        <w:rPr>
          <w:rFonts w:eastAsia="Times New Roman"/>
          <w:b/>
          <w:bCs/>
          <w:color w:val="000000"/>
        </w:rPr>
        <w:t xml:space="preserve"> </w:t>
      </w:r>
      <w:r w:rsidR="009A2EE5" w:rsidRPr="009F503C">
        <w:rPr>
          <w:rFonts w:eastAsia="Times New Roman"/>
          <w:color w:val="000000"/>
        </w:rPr>
        <w:t>(“</w:t>
      </w:r>
      <w:r w:rsidR="00A512A7">
        <w:rPr>
          <w:rFonts w:eastAsia="Times New Roman"/>
          <w:color w:val="000000"/>
        </w:rPr>
        <w:t>Project</w:t>
      </w:r>
      <w:r w:rsidR="009A2EE5" w:rsidRPr="009F503C">
        <w:rPr>
          <w:rFonts w:eastAsia="Times New Roman"/>
          <w:color w:val="000000"/>
        </w:rPr>
        <w:t xml:space="preserve">”). </w:t>
      </w:r>
      <w:r w:rsidRPr="009F503C">
        <w:rPr>
          <w:rFonts w:eastAsia="Times New Roman"/>
          <w:color w:val="000000"/>
        </w:rPr>
        <w:t xml:space="preserve"> </w:t>
      </w:r>
    </w:p>
    <w:p w14:paraId="23F55031" w14:textId="77777777" w:rsidR="009A2EE5" w:rsidRPr="009F503C" w:rsidRDefault="009A2EE5" w:rsidP="009F503C">
      <w:pPr>
        <w:shd w:val="clear" w:color="auto" w:fill="FFFFFF"/>
        <w:spacing w:line="276" w:lineRule="auto"/>
        <w:rPr>
          <w:rFonts w:eastAsia="Times New Roman"/>
          <w:color w:val="000000"/>
        </w:rPr>
      </w:pPr>
    </w:p>
    <w:p w14:paraId="5FB92A46" w14:textId="06C5C5A5" w:rsidR="009365C8" w:rsidRPr="009F503C" w:rsidRDefault="009A2EE5" w:rsidP="009F503C">
      <w:pPr>
        <w:shd w:val="clear" w:color="auto" w:fill="FFFFFF"/>
        <w:spacing w:line="276" w:lineRule="auto"/>
        <w:rPr>
          <w:rFonts w:eastAsia="Times New Roman"/>
          <w:color w:val="000000"/>
        </w:rPr>
      </w:pPr>
      <w:r w:rsidRPr="009F503C">
        <w:rPr>
          <w:rFonts w:eastAsia="Times New Roman"/>
          <w:b/>
          <w:bCs/>
          <w:color w:val="000000"/>
        </w:rPr>
        <w:t>WHEREAS</w:t>
      </w:r>
      <w:r w:rsidRPr="009F503C">
        <w:rPr>
          <w:rFonts w:eastAsia="Times New Roman"/>
          <w:color w:val="000000"/>
        </w:rPr>
        <w:t xml:space="preserve"> </w:t>
      </w:r>
      <w:r w:rsidR="00A512A7">
        <w:rPr>
          <w:rFonts w:eastAsia="Times New Roman"/>
          <w:color w:val="000000"/>
        </w:rPr>
        <w:t xml:space="preserve">Furniture Bank’s mission is to receive used and new furniture for donation to qualifying people in need for their </w:t>
      </w:r>
      <w:proofErr w:type="gramStart"/>
      <w:r w:rsidR="00A512A7">
        <w:rPr>
          <w:rFonts w:eastAsia="Times New Roman"/>
          <w:color w:val="000000"/>
        </w:rPr>
        <w:t>residences;</w:t>
      </w:r>
      <w:proofErr w:type="gramEnd"/>
    </w:p>
    <w:p w14:paraId="5D97B54B" w14:textId="77777777" w:rsidR="009365C8" w:rsidRPr="009F503C" w:rsidRDefault="009365C8" w:rsidP="009F503C">
      <w:pPr>
        <w:shd w:val="clear" w:color="auto" w:fill="FFFFFF"/>
        <w:spacing w:line="276" w:lineRule="auto"/>
        <w:rPr>
          <w:rFonts w:eastAsia="Times New Roman"/>
          <w:color w:val="000000"/>
        </w:rPr>
      </w:pPr>
    </w:p>
    <w:p w14:paraId="2012D8D6" w14:textId="74779F0C" w:rsidR="009365C8" w:rsidRPr="009F503C" w:rsidRDefault="009A2EE5" w:rsidP="009F503C">
      <w:pPr>
        <w:shd w:val="clear" w:color="auto" w:fill="FFFFFF"/>
        <w:spacing w:line="276" w:lineRule="auto"/>
        <w:rPr>
          <w:rFonts w:eastAsia="Times New Roman"/>
          <w:color w:val="000000"/>
        </w:rPr>
      </w:pPr>
      <w:r w:rsidRPr="009F503C">
        <w:rPr>
          <w:rFonts w:eastAsia="Times New Roman"/>
          <w:b/>
          <w:bCs/>
          <w:color w:val="000000"/>
        </w:rPr>
        <w:t>WHEREAS</w:t>
      </w:r>
      <w:r w:rsidR="009365C8" w:rsidRPr="009F503C">
        <w:rPr>
          <w:rFonts w:eastAsia="Times New Roman"/>
          <w:color w:val="000000"/>
        </w:rPr>
        <w:t xml:space="preserve"> </w:t>
      </w:r>
      <w:r w:rsidR="00A512A7">
        <w:rPr>
          <w:rFonts w:eastAsia="Times New Roman"/>
          <w:color w:val="000000"/>
        </w:rPr>
        <w:t xml:space="preserve">Shelter Provider is to provide shelter to families with children who are experiencing homelessness until they can secure permanent </w:t>
      </w:r>
      <w:proofErr w:type="gramStart"/>
      <w:r w:rsidR="00A512A7">
        <w:rPr>
          <w:rFonts w:eastAsia="Times New Roman"/>
          <w:color w:val="000000"/>
        </w:rPr>
        <w:t>housing;</w:t>
      </w:r>
      <w:proofErr w:type="gramEnd"/>
    </w:p>
    <w:p w14:paraId="0E155460" w14:textId="77777777" w:rsidR="009365C8" w:rsidRPr="009F503C" w:rsidRDefault="009365C8" w:rsidP="009F503C">
      <w:pPr>
        <w:shd w:val="clear" w:color="auto" w:fill="FFFFFF"/>
        <w:spacing w:line="276" w:lineRule="auto"/>
        <w:rPr>
          <w:rFonts w:eastAsia="Times New Roman"/>
          <w:color w:val="000000"/>
        </w:rPr>
      </w:pPr>
    </w:p>
    <w:p w14:paraId="6352970D" w14:textId="642CC37C" w:rsidR="009365C8" w:rsidRPr="009F503C" w:rsidRDefault="009365C8" w:rsidP="009F503C">
      <w:pPr>
        <w:shd w:val="clear" w:color="auto" w:fill="FFFFFF"/>
        <w:spacing w:line="276" w:lineRule="auto"/>
        <w:rPr>
          <w:rFonts w:eastAsia="Times New Roman"/>
          <w:color w:val="000000"/>
        </w:rPr>
      </w:pPr>
      <w:r w:rsidRPr="009F503C">
        <w:rPr>
          <w:rFonts w:eastAsia="Times New Roman"/>
          <w:b/>
          <w:bCs/>
          <w:color w:val="000000"/>
        </w:rPr>
        <w:t>W</w:t>
      </w:r>
      <w:r w:rsidR="009A2EE5" w:rsidRPr="009F503C">
        <w:rPr>
          <w:rFonts w:eastAsia="Times New Roman"/>
          <w:b/>
          <w:bCs/>
          <w:color w:val="000000"/>
        </w:rPr>
        <w:t>HEREAS</w:t>
      </w:r>
      <w:r w:rsidRPr="009F503C">
        <w:rPr>
          <w:rFonts w:eastAsia="Times New Roman"/>
          <w:color w:val="000000"/>
        </w:rPr>
        <w:t xml:space="preserve"> </w:t>
      </w:r>
      <w:r w:rsidR="00A512A7">
        <w:rPr>
          <w:rFonts w:eastAsia="Times New Roman"/>
          <w:color w:val="000000"/>
        </w:rPr>
        <w:t xml:space="preserve">Shelter Provider is an approved referral partner of Furniture </w:t>
      </w:r>
      <w:proofErr w:type="gramStart"/>
      <w:r w:rsidR="00A512A7">
        <w:rPr>
          <w:rFonts w:eastAsia="Times New Roman"/>
          <w:color w:val="000000"/>
        </w:rPr>
        <w:t>Bank;</w:t>
      </w:r>
      <w:proofErr w:type="gramEnd"/>
    </w:p>
    <w:p w14:paraId="7279C60E" w14:textId="77777777" w:rsidR="009365C8" w:rsidRPr="009F503C" w:rsidRDefault="009365C8" w:rsidP="009F503C">
      <w:pPr>
        <w:shd w:val="clear" w:color="auto" w:fill="FFFFFF"/>
        <w:spacing w:line="276" w:lineRule="auto"/>
        <w:rPr>
          <w:rFonts w:eastAsia="Times New Roman"/>
          <w:color w:val="000000"/>
        </w:rPr>
      </w:pPr>
    </w:p>
    <w:p w14:paraId="44AFFC59" w14:textId="544DAADC" w:rsidR="009365C8" w:rsidRDefault="009A2EE5" w:rsidP="009F503C">
      <w:pPr>
        <w:shd w:val="clear" w:color="auto" w:fill="FFFFFF"/>
        <w:spacing w:line="276" w:lineRule="auto"/>
        <w:rPr>
          <w:rFonts w:eastAsia="Times New Roman"/>
          <w:color w:val="000000"/>
        </w:rPr>
      </w:pPr>
      <w:r w:rsidRPr="009F503C">
        <w:rPr>
          <w:rFonts w:eastAsia="Times New Roman"/>
          <w:b/>
          <w:bCs/>
          <w:color w:val="000000"/>
        </w:rPr>
        <w:t>WHEREAS</w:t>
      </w:r>
      <w:r w:rsidR="009365C8" w:rsidRPr="009F503C">
        <w:rPr>
          <w:rFonts w:eastAsia="Times New Roman"/>
          <w:color w:val="000000"/>
        </w:rPr>
        <w:t xml:space="preserve"> </w:t>
      </w:r>
      <w:r w:rsidR="00A512A7">
        <w:rPr>
          <w:rFonts w:eastAsia="Times New Roman"/>
          <w:color w:val="000000"/>
        </w:rPr>
        <w:t xml:space="preserve">Shelter Provider operates a Project to </w:t>
      </w:r>
      <w:r w:rsidR="007E76BF">
        <w:rPr>
          <w:rFonts w:eastAsia="Times New Roman"/>
          <w:color w:val="000000"/>
        </w:rPr>
        <w:t>rent</w:t>
      </w:r>
      <w:r w:rsidR="00A512A7">
        <w:rPr>
          <w:rFonts w:eastAsia="Times New Roman"/>
          <w:color w:val="000000"/>
        </w:rPr>
        <w:t xml:space="preserve"> private </w:t>
      </w:r>
      <w:r w:rsidR="007E76BF">
        <w:rPr>
          <w:rFonts w:eastAsia="Times New Roman"/>
          <w:color w:val="000000"/>
        </w:rPr>
        <w:t>residences or “Units” (e.g., apartments, townhomes, houses),</w:t>
      </w:r>
      <w:r w:rsidR="00A512A7">
        <w:rPr>
          <w:rFonts w:eastAsia="Times New Roman"/>
          <w:color w:val="000000"/>
        </w:rPr>
        <w:t xml:space="preserve"> owned and operated by third parties</w:t>
      </w:r>
      <w:r w:rsidR="007E76BF">
        <w:rPr>
          <w:rFonts w:eastAsia="Times New Roman"/>
          <w:color w:val="000000"/>
        </w:rPr>
        <w:t>,</w:t>
      </w:r>
      <w:r w:rsidR="00A512A7">
        <w:rPr>
          <w:rFonts w:eastAsia="Times New Roman"/>
          <w:color w:val="000000"/>
        </w:rPr>
        <w:t xml:space="preserve"> in Indianapolis as</w:t>
      </w:r>
      <w:r w:rsidR="00427A19">
        <w:rPr>
          <w:rFonts w:eastAsia="Times New Roman"/>
          <w:color w:val="000000"/>
        </w:rPr>
        <w:t xml:space="preserve"> temporary</w:t>
      </w:r>
      <w:r w:rsidR="00A512A7">
        <w:rPr>
          <w:rFonts w:eastAsia="Times New Roman"/>
          <w:color w:val="000000"/>
        </w:rPr>
        <w:t xml:space="preserve"> emergency shelters for families with children, providing case management helping those families to secure permanent housing as fast as possible;</w:t>
      </w:r>
    </w:p>
    <w:p w14:paraId="42A0A84B" w14:textId="28650E14" w:rsidR="00C57AA4" w:rsidRDefault="00C57AA4" w:rsidP="009F503C">
      <w:pPr>
        <w:shd w:val="clear" w:color="auto" w:fill="FFFFFF"/>
        <w:spacing w:line="276" w:lineRule="auto"/>
        <w:rPr>
          <w:rFonts w:eastAsia="Times New Roman"/>
          <w:color w:val="000000"/>
        </w:rPr>
      </w:pPr>
    </w:p>
    <w:p w14:paraId="47D9DE05" w14:textId="3EE86B25" w:rsidR="00C57AA4" w:rsidRDefault="00C57AA4" w:rsidP="009F503C">
      <w:pPr>
        <w:shd w:val="clear" w:color="auto" w:fill="FFFFFF"/>
        <w:spacing w:line="276" w:lineRule="auto"/>
        <w:rPr>
          <w:rFonts w:eastAsia="Times New Roman"/>
          <w:color w:val="000000"/>
        </w:rPr>
      </w:pPr>
      <w:r w:rsidRPr="006E1A33">
        <w:rPr>
          <w:rFonts w:eastAsia="Times New Roman"/>
          <w:b/>
          <w:bCs/>
          <w:color w:val="000000"/>
        </w:rPr>
        <w:t>WHEREAS</w:t>
      </w:r>
      <w:r>
        <w:rPr>
          <w:rFonts w:eastAsia="Times New Roman"/>
          <w:color w:val="000000"/>
        </w:rPr>
        <w:t xml:space="preserve"> Shelter Provider intends to rent up to </w:t>
      </w:r>
      <w:r w:rsidR="00B05003">
        <w:rPr>
          <w:rFonts w:eastAsia="Times New Roman"/>
          <w:color w:val="000000"/>
        </w:rPr>
        <w:t>eight</w:t>
      </w:r>
      <w:r>
        <w:rPr>
          <w:rFonts w:eastAsia="Times New Roman"/>
          <w:color w:val="000000"/>
        </w:rPr>
        <w:t xml:space="preserve"> Units for the initiation of the Project by July 1, 2020, and may potentially rent u</w:t>
      </w:r>
      <w:r w:rsidR="006E1A33">
        <w:rPr>
          <w:rFonts w:eastAsia="Times New Roman"/>
          <w:color w:val="000000"/>
        </w:rPr>
        <w:t>p to t</w:t>
      </w:r>
      <w:r w:rsidR="00B05003">
        <w:rPr>
          <w:rFonts w:eastAsia="Times New Roman"/>
          <w:color w:val="000000"/>
        </w:rPr>
        <w:t>welve</w:t>
      </w:r>
      <w:r w:rsidR="006E1A33">
        <w:rPr>
          <w:rFonts w:eastAsia="Times New Roman"/>
          <w:color w:val="000000"/>
        </w:rPr>
        <w:t xml:space="preserve"> other Units by December 31, 2020 to consistently operate up to twenty (20) Units in the Project at a time, conditional on funding;</w:t>
      </w:r>
    </w:p>
    <w:p w14:paraId="0E7C61B1" w14:textId="77777777" w:rsidR="00A512A7" w:rsidRPr="009F503C" w:rsidRDefault="00A512A7" w:rsidP="009F503C">
      <w:pPr>
        <w:shd w:val="clear" w:color="auto" w:fill="FFFFFF"/>
        <w:spacing w:line="276" w:lineRule="auto"/>
        <w:rPr>
          <w:rFonts w:eastAsia="Times New Roman"/>
          <w:color w:val="000000"/>
        </w:rPr>
      </w:pPr>
    </w:p>
    <w:p w14:paraId="5EB7EFDC" w14:textId="4725BD60" w:rsidR="00A512A7" w:rsidRDefault="00A512A7" w:rsidP="00A512A7">
      <w:pPr>
        <w:shd w:val="clear" w:color="auto" w:fill="FFFFFF"/>
        <w:spacing w:line="276" w:lineRule="auto"/>
        <w:rPr>
          <w:rFonts w:eastAsia="Times New Roman"/>
          <w:color w:val="000000"/>
        </w:rPr>
      </w:pPr>
      <w:r w:rsidRPr="009F503C">
        <w:rPr>
          <w:rFonts w:eastAsia="Times New Roman"/>
          <w:b/>
          <w:bCs/>
          <w:color w:val="000000"/>
        </w:rPr>
        <w:t>WHEREAS</w:t>
      </w:r>
      <w:r w:rsidRPr="009F503C">
        <w:rPr>
          <w:rFonts w:eastAsia="Times New Roman"/>
          <w:color w:val="000000"/>
        </w:rPr>
        <w:t xml:space="preserve"> </w:t>
      </w:r>
      <w:r>
        <w:rPr>
          <w:rFonts w:eastAsia="Times New Roman"/>
          <w:color w:val="000000"/>
        </w:rPr>
        <w:t xml:space="preserve">the </w:t>
      </w:r>
      <w:r w:rsidR="007E76BF">
        <w:rPr>
          <w:rFonts w:eastAsia="Times New Roman"/>
          <w:color w:val="000000"/>
        </w:rPr>
        <w:t>Units</w:t>
      </w:r>
      <w:r>
        <w:rPr>
          <w:rFonts w:eastAsia="Times New Roman"/>
          <w:color w:val="000000"/>
        </w:rPr>
        <w:t xml:space="preserve"> need to have furniture for the guest shelter family to have a reasonably comfortable </w:t>
      </w:r>
      <w:proofErr w:type="gramStart"/>
      <w:r>
        <w:rPr>
          <w:rFonts w:eastAsia="Times New Roman"/>
          <w:color w:val="000000"/>
        </w:rPr>
        <w:t>residence;</w:t>
      </w:r>
      <w:proofErr w:type="gramEnd"/>
    </w:p>
    <w:p w14:paraId="026BA285" w14:textId="76466E4D" w:rsidR="00A512A7" w:rsidRDefault="00A512A7" w:rsidP="00A512A7">
      <w:pPr>
        <w:shd w:val="clear" w:color="auto" w:fill="FFFFFF"/>
        <w:spacing w:line="276" w:lineRule="auto"/>
        <w:rPr>
          <w:rFonts w:eastAsia="Times New Roman"/>
          <w:color w:val="000000"/>
        </w:rPr>
      </w:pPr>
    </w:p>
    <w:p w14:paraId="070283B4" w14:textId="64BD8C1C" w:rsidR="00A512A7" w:rsidRPr="00A512A7" w:rsidRDefault="00A512A7" w:rsidP="00A512A7">
      <w:pPr>
        <w:shd w:val="clear" w:color="auto" w:fill="FFFFFF"/>
        <w:spacing w:line="276" w:lineRule="auto"/>
        <w:rPr>
          <w:rFonts w:eastAsia="Times New Roman"/>
          <w:color w:val="000000"/>
        </w:rPr>
      </w:pPr>
      <w:r>
        <w:rPr>
          <w:rFonts w:eastAsia="Times New Roman"/>
          <w:b/>
          <w:bCs/>
          <w:color w:val="000000"/>
        </w:rPr>
        <w:t>WHEREAS</w:t>
      </w:r>
      <w:r>
        <w:rPr>
          <w:rFonts w:eastAsia="Times New Roman"/>
          <w:color w:val="000000"/>
        </w:rPr>
        <w:t xml:space="preserve"> </w:t>
      </w:r>
      <w:r w:rsidR="007E76BF">
        <w:rPr>
          <w:rFonts w:eastAsia="Times New Roman"/>
          <w:color w:val="000000"/>
        </w:rPr>
        <w:t xml:space="preserve">new Units may be </w:t>
      </w:r>
      <w:r>
        <w:rPr>
          <w:rFonts w:eastAsia="Times New Roman"/>
          <w:color w:val="000000"/>
        </w:rPr>
        <w:t xml:space="preserve">rented on an ongoing basis if the Shelter’s Provider’s lease is terminated </w:t>
      </w:r>
      <w:r w:rsidR="007E76BF">
        <w:rPr>
          <w:rFonts w:eastAsia="Times New Roman"/>
          <w:color w:val="000000"/>
        </w:rPr>
        <w:t xml:space="preserve">before term completion so that the Unit can be rented instead to the guest shelter </w:t>
      </w:r>
      <w:proofErr w:type="gramStart"/>
      <w:r w:rsidR="007E76BF">
        <w:rPr>
          <w:rFonts w:eastAsia="Times New Roman"/>
          <w:color w:val="000000"/>
        </w:rPr>
        <w:t>family;</w:t>
      </w:r>
      <w:proofErr w:type="gramEnd"/>
    </w:p>
    <w:p w14:paraId="2E70C683" w14:textId="77777777" w:rsidR="009365C8" w:rsidRPr="009F503C" w:rsidRDefault="009365C8" w:rsidP="009F503C">
      <w:pPr>
        <w:shd w:val="clear" w:color="auto" w:fill="FFFFFF"/>
        <w:spacing w:line="276" w:lineRule="auto"/>
        <w:rPr>
          <w:rFonts w:eastAsia="Times New Roman"/>
          <w:color w:val="000000"/>
        </w:rPr>
      </w:pPr>
    </w:p>
    <w:p w14:paraId="7ECCCE9B" w14:textId="04A09E7F" w:rsidR="00FE31CB" w:rsidRPr="009F503C" w:rsidRDefault="00D8737A" w:rsidP="009F503C">
      <w:pPr>
        <w:shd w:val="clear" w:color="auto" w:fill="FFFFFF"/>
        <w:spacing w:line="276" w:lineRule="auto"/>
        <w:rPr>
          <w:rFonts w:eastAsia="Times New Roman"/>
          <w:color w:val="000000"/>
        </w:rPr>
      </w:pPr>
      <w:r w:rsidRPr="009F503C">
        <w:rPr>
          <w:rFonts w:eastAsia="Times New Roman"/>
          <w:b/>
          <w:bCs/>
          <w:color w:val="000000"/>
        </w:rPr>
        <w:t>NOW THEREFORE</w:t>
      </w:r>
      <w:r w:rsidRPr="009F503C">
        <w:rPr>
          <w:rFonts w:eastAsia="Times New Roman"/>
          <w:color w:val="000000"/>
        </w:rPr>
        <w:t>, in consideration of the terms and conditions of this Memorandum of Understanding as set forth below, the adequacy of which is hereby acknowledged, the Parties agree as follows:</w:t>
      </w:r>
    </w:p>
    <w:p w14:paraId="4E3DBD7B" w14:textId="319AF8B8" w:rsidR="009365C8" w:rsidRPr="009F503C" w:rsidRDefault="009365C8" w:rsidP="009F503C">
      <w:pPr>
        <w:shd w:val="clear" w:color="auto" w:fill="FFFFFF"/>
        <w:spacing w:line="276" w:lineRule="auto"/>
        <w:rPr>
          <w:rFonts w:eastAsia="Times New Roman"/>
          <w:color w:val="000000"/>
        </w:rPr>
      </w:pPr>
    </w:p>
    <w:p w14:paraId="214466F0" w14:textId="31333A51" w:rsidR="009365C8" w:rsidRPr="00316295" w:rsidRDefault="00A512A7" w:rsidP="009F503C">
      <w:pPr>
        <w:shd w:val="clear" w:color="auto" w:fill="FFFFFF"/>
        <w:spacing w:line="276" w:lineRule="auto"/>
        <w:rPr>
          <w:rFonts w:eastAsia="Times New Roman"/>
          <w:b/>
          <w:bCs/>
          <w:color w:val="000000"/>
          <w:u w:val="single"/>
        </w:rPr>
      </w:pPr>
      <w:r>
        <w:rPr>
          <w:rFonts w:eastAsia="Times New Roman"/>
          <w:b/>
          <w:bCs/>
          <w:color w:val="000000"/>
          <w:u w:val="single"/>
        </w:rPr>
        <w:t>Furniture Bank’s</w:t>
      </w:r>
      <w:r w:rsidR="009365C8" w:rsidRPr="00316295">
        <w:rPr>
          <w:rFonts w:eastAsia="Times New Roman"/>
          <w:b/>
          <w:bCs/>
          <w:color w:val="000000"/>
          <w:u w:val="single"/>
        </w:rPr>
        <w:t xml:space="preserve"> </w:t>
      </w:r>
      <w:r w:rsidR="004A6042" w:rsidRPr="00316295">
        <w:rPr>
          <w:rFonts w:eastAsia="Times New Roman"/>
          <w:b/>
          <w:bCs/>
          <w:color w:val="000000"/>
          <w:u w:val="single"/>
        </w:rPr>
        <w:t>Participation</w:t>
      </w:r>
      <w:r w:rsidR="009365C8" w:rsidRPr="00316295">
        <w:rPr>
          <w:rFonts w:eastAsia="Times New Roman"/>
          <w:b/>
          <w:bCs/>
          <w:color w:val="000000"/>
          <w:u w:val="single"/>
        </w:rPr>
        <w:t xml:space="preserve">: </w:t>
      </w:r>
    </w:p>
    <w:p w14:paraId="5EDD970E" w14:textId="77777777" w:rsidR="009A2EE5" w:rsidRPr="009F503C" w:rsidRDefault="009A2EE5" w:rsidP="009F503C">
      <w:pPr>
        <w:shd w:val="clear" w:color="auto" w:fill="FFFFFF"/>
        <w:spacing w:line="276" w:lineRule="auto"/>
        <w:rPr>
          <w:rFonts w:eastAsia="Times New Roman"/>
          <w:b/>
          <w:bCs/>
          <w:color w:val="000000"/>
        </w:rPr>
      </w:pPr>
    </w:p>
    <w:p w14:paraId="538A676A" w14:textId="2F9DD052" w:rsidR="007E76BF" w:rsidRDefault="007E76BF" w:rsidP="009F503C">
      <w:pPr>
        <w:pStyle w:val="ListParagraph"/>
        <w:numPr>
          <w:ilvl w:val="0"/>
          <w:numId w:val="3"/>
        </w:numPr>
        <w:shd w:val="clear" w:color="auto" w:fill="FFFFFF"/>
        <w:spacing w:line="276" w:lineRule="auto"/>
        <w:rPr>
          <w:rFonts w:eastAsia="Times New Roman"/>
          <w:color w:val="000000"/>
        </w:rPr>
      </w:pPr>
      <w:r>
        <w:rPr>
          <w:rFonts w:eastAsia="Times New Roman"/>
          <w:color w:val="000000"/>
        </w:rPr>
        <w:t xml:space="preserve">Receive </w:t>
      </w:r>
      <w:r w:rsidR="00C57AA4">
        <w:rPr>
          <w:rFonts w:eastAsia="Times New Roman"/>
          <w:color w:val="000000"/>
        </w:rPr>
        <w:t xml:space="preserve">and consider </w:t>
      </w:r>
      <w:r>
        <w:rPr>
          <w:rFonts w:eastAsia="Times New Roman"/>
          <w:color w:val="000000"/>
        </w:rPr>
        <w:t xml:space="preserve">referrals for furniture </w:t>
      </w:r>
      <w:r w:rsidR="00C57AA4">
        <w:rPr>
          <w:rFonts w:eastAsia="Times New Roman"/>
          <w:color w:val="000000"/>
        </w:rPr>
        <w:t xml:space="preserve">in addition to client referrals from Shelter Provider’s other programs, </w:t>
      </w:r>
      <w:r>
        <w:rPr>
          <w:rFonts w:eastAsia="Times New Roman"/>
          <w:color w:val="000000"/>
        </w:rPr>
        <w:t xml:space="preserve">from Shelter Provider for newly rented Units in the Project by e-mail and </w:t>
      </w:r>
      <w:proofErr w:type="gramStart"/>
      <w:r>
        <w:rPr>
          <w:rFonts w:eastAsia="Times New Roman"/>
          <w:color w:val="000000"/>
        </w:rPr>
        <w:t>facsimile;</w:t>
      </w:r>
      <w:proofErr w:type="gramEnd"/>
    </w:p>
    <w:p w14:paraId="45ECACC3" w14:textId="3913EA6E" w:rsidR="007E76BF" w:rsidRDefault="007E76BF" w:rsidP="009F503C">
      <w:pPr>
        <w:pStyle w:val="ListParagraph"/>
        <w:numPr>
          <w:ilvl w:val="0"/>
          <w:numId w:val="3"/>
        </w:numPr>
        <w:shd w:val="clear" w:color="auto" w:fill="FFFFFF"/>
        <w:spacing w:line="276" w:lineRule="auto"/>
        <w:rPr>
          <w:rFonts w:eastAsia="Times New Roman"/>
          <w:color w:val="000000"/>
        </w:rPr>
      </w:pPr>
      <w:r>
        <w:rPr>
          <w:rFonts w:eastAsia="Times New Roman"/>
          <w:color w:val="000000"/>
        </w:rPr>
        <w:lastRenderedPageBreak/>
        <w:t xml:space="preserve">Collect and deliver the furniture listed in the Addendum, </w:t>
      </w:r>
      <w:r w:rsidRPr="00B05461">
        <w:rPr>
          <w:rFonts w:eastAsia="Times New Roman"/>
          <w:color w:val="000000"/>
        </w:rPr>
        <w:t>subject to availability</w:t>
      </w:r>
      <w:r>
        <w:rPr>
          <w:rFonts w:eastAsia="Times New Roman"/>
          <w:color w:val="000000"/>
        </w:rPr>
        <w:t xml:space="preserve">, for any referred units as close to the communicated lease signing date as possible, as communicated by Shelter </w:t>
      </w:r>
      <w:proofErr w:type="gramStart"/>
      <w:r>
        <w:rPr>
          <w:rFonts w:eastAsia="Times New Roman"/>
          <w:color w:val="000000"/>
        </w:rPr>
        <w:t>Provider;</w:t>
      </w:r>
      <w:proofErr w:type="gramEnd"/>
    </w:p>
    <w:p w14:paraId="33B53DEF" w14:textId="77777777" w:rsidR="007E76BF" w:rsidRDefault="007E76BF" w:rsidP="009F503C">
      <w:pPr>
        <w:pStyle w:val="ListParagraph"/>
        <w:numPr>
          <w:ilvl w:val="0"/>
          <w:numId w:val="3"/>
        </w:numPr>
        <w:shd w:val="clear" w:color="auto" w:fill="FFFFFF"/>
        <w:spacing w:line="276" w:lineRule="auto"/>
        <w:rPr>
          <w:rFonts w:eastAsia="Times New Roman"/>
          <w:color w:val="000000"/>
        </w:rPr>
      </w:pPr>
      <w:r>
        <w:rPr>
          <w:rFonts w:eastAsia="Times New Roman"/>
          <w:color w:val="000000"/>
        </w:rPr>
        <w:t xml:space="preserve">Send an invoice to Shelter Provider for the following amounts within 30 days of delivery of furniture: $250.00 for two-bedroom units and $500.00 for three- or four-bedroom </w:t>
      </w:r>
      <w:proofErr w:type="gramStart"/>
      <w:r>
        <w:rPr>
          <w:rFonts w:eastAsia="Times New Roman"/>
          <w:color w:val="000000"/>
        </w:rPr>
        <w:t>units;</w:t>
      </w:r>
      <w:proofErr w:type="gramEnd"/>
    </w:p>
    <w:p w14:paraId="785C6693" w14:textId="77777777" w:rsidR="007E76BF" w:rsidRDefault="007E76BF" w:rsidP="009F503C">
      <w:pPr>
        <w:pStyle w:val="ListParagraph"/>
        <w:numPr>
          <w:ilvl w:val="0"/>
          <w:numId w:val="3"/>
        </w:numPr>
        <w:shd w:val="clear" w:color="auto" w:fill="FFFFFF"/>
        <w:spacing w:line="276" w:lineRule="auto"/>
        <w:rPr>
          <w:rFonts w:eastAsia="Times New Roman"/>
          <w:color w:val="000000"/>
        </w:rPr>
      </w:pPr>
      <w:r>
        <w:rPr>
          <w:rFonts w:eastAsia="Times New Roman"/>
          <w:color w:val="000000"/>
        </w:rPr>
        <w:t xml:space="preserve">Coordinate with Shelter Provider’s designee delivery of </w:t>
      </w:r>
      <w:proofErr w:type="gramStart"/>
      <w:r>
        <w:rPr>
          <w:rFonts w:eastAsia="Times New Roman"/>
          <w:color w:val="000000"/>
        </w:rPr>
        <w:t>furniture;</w:t>
      </w:r>
      <w:proofErr w:type="gramEnd"/>
    </w:p>
    <w:p w14:paraId="7E0B3F4B" w14:textId="6D9E463E" w:rsidR="009A2EE5" w:rsidRDefault="007E76BF" w:rsidP="00427A19">
      <w:pPr>
        <w:pStyle w:val="ListParagraph"/>
        <w:numPr>
          <w:ilvl w:val="0"/>
          <w:numId w:val="3"/>
        </w:numPr>
        <w:shd w:val="clear" w:color="auto" w:fill="FFFFFF"/>
        <w:spacing w:line="276" w:lineRule="auto"/>
        <w:rPr>
          <w:rFonts w:eastAsia="Times New Roman"/>
          <w:color w:val="000000"/>
        </w:rPr>
      </w:pPr>
      <w:r>
        <w:rPr>
          <w:rFonts w:eastAsia="Times New Roman"/>
          <w:color w:val="000000"/>
        </w:rPr>
        <w:t xml:space="preserve">If any furniture items are not available, deliver what is available at earliest available delivery time, and deliver the remaining items at the soonest date </w:t>
      </w:r>
      <w:proofErr w:type="gramStart"/>
      <w:r>
        <w:rPr>
          <w:rFonts w:eastAsia="Times New Roman"/>
          <w:color w:val="000000"/>
        </w:rPr>
        <w:t>available</w:t>
      </w:r>
      <w:r w:rsidR="00427A19">
        <w:rPr>
          <w:rFonts w:eastAsia="Times New Roman"/>
          <w:color w:val="000000"/>
        </w:rPr>
        <w:t>;</w:t>
      </w:r>
      <w:proofErr w:type="gramEnd"/>
    </w:p>
    <w:p w14:paraId="3B64CDDF" w14:textId="5FCBD4CB" w:rsidR="00B05461" w:rsidRDefault="00B05461" w:rsidP="00B05461">
      <w:pPr>
        <w:pStyle w:val="ListParagraph"/>
        <w:numPr>
          <w:ilvl w:val="0"/>
          <w:numId w:val="3"/>
        </w:numPr>
        <w:shd w:val="clear" w:color="auto" w:fill="FFFFFF"/>
        <w:spacing w:line="276" w:lineRule="auto"/>
        <w:rPr>
          <w:rFonts w:eastAsia="Times New Roman"/>
          <w:color w:val="000000"/>
        </w:rPr>
      </w:pPr>
      <w:r>
        <w:rPr>
          <w:rFonts w:eastAsia="Times New Roman"/>
          <w:color w:val="000000"/>
        </w:rPr>
        <w:t>If a guest shelter family transfers the lease for the Unit into their own name, allow the new tenant to take possession of the furniture that Furniture Bank provided for the Project; understand Shelter Provider will likely then refer a new Unit for furniture;</w:t>
      </w:r>
    </w:p>
    <w:p w14:paraId="167B1E60" w14:textId="59FC9815" w:rsidR="00427A19" w:rsidRDefault="00427A19" w:rsidP="00427A19">
      <w:pPr>
        <w:pStyle w:val="ListParagraph"/>
        <w:numPr>
          <w:ilvl w:val="0"/>
          <w:numId w:val="3"/>
        </w:numPr>
        <w:shd w:val="clear" w:color="auto" w:fill="FFFFFF"/>
        <w:spacing w:line="276" w:lineRule="auto"/>
        <w:rPr>
          <w:rFonts w:eastAsia="Times New Roman"/>
          <w:color w:val="000000"/>
        </w:rPr>
      </w:pPr>
      <w:r>
        <w:rPr>
          <w:rFonts w:eastAsia="Times New Roman"/>
          <w:color w:val="000000"/>
        </w:rPr>
        <w:t>Continue to abide by any applicable agreements in place between Shelter Provider and Furniture Bank</w:t>
      </w:r>
      <w:r w:rsidR="00B05461">
        <w:rPr>
          <w:rFonts w:eastAsia="Times New Roman"/>
          <w:color w:val="000000"/>
        </w:rPr>
        <w:t>.</w:t>
      </w:r>
    </w:p>
    <w:p w14:paraId="4C494A83" w14:textId="77777777" w:rsidR="00427A19" w:rsidRPr="00427A19" w:rsidRDefault="00427A19" w:rsidP="00427A19">
      <w:pPr>
        <w:shd w:val="clear" w:color="auto" w:fill="FFFFFF"/>
        <w:spacing w:line="276" w:lineRule="auto"/>
        <w:rPr>
          <w:rFonts w:eastAsia="Times New Roman"/>
          <w:color w:val="000000"/>
        </w:rPr>
      </w:pPr>
    </w:p>
    <w:p w14:paraId="3AF62CBB" w14:textId="522EC355" w:rsidR="009365C8" w:rsidRPr="00316295" w:rsidRDefault="00A512A7" w:rsidP="009F503C">
      <w:pPr>
        <w:shd w:val="clear" w:color="auto" w:fill="FFFFFF"/>
        <w:spacing w:line="276" w:lineRule="auto"/>
        <w:rPr>
          <w:rFonts w:eastAsia="Times New Roman"/>
          <w:b/>
          <w:bCs/>
          <w:color w:val="000000"/>
          <w:u w:val="single"/>
        </w:rPr>
      </w:pPr>
      <w:r>
        <w:rPr>
          <w:rFonts w:eastAsia="Times New Roman"/>
          <w:b/>
          <w:bCs/>
          <w:color w:val="000000"/>
          <w:u w:val="single"/>
        </w:rPr>
        <w:t>Shelter Provider’s</w:t>
      </w:r>
      <w:r w:rsidR="009365C8" w:rsidRPr="00316295">
        <w:rPr>
          <w:rFonts w:eastAsia="Times New Roman"/>
          <w:b/>
          <w:bCs/>
          <w:color w:val="000000"/>
          <w:u w:val="single"/>
        </w:rPr>
        <w:t xml:space="preserve"> </w:t>
      </w:r>
      <w:r w:rsidR="004A6042" w:rsidRPr="00316295">
        <w:rPr>
          <w:rFonts w:eastAsia="Times New Roman"/>
          <w:b/>
          <w:bCs/>
          <w:color w:val="000000"/>
          <w:u w:val="single"/>
        </w:rPr>
        <w:t>Participation:</w:t>
      </w:r>
      <w:r w:rsidR="009365C8" w:rsidRPr="00316295">
        <w:rPr>
          <w:rFonts w:eastAsia="Times New Roman"/>
          <w:b/>
          <w:bCs/>
          <w:color w:val="000000"/>
          <w:u w:val="single"/>
        </w:rPr>
        <w:t xml:space="preserve"> </w:t>
      </w:r>
    </w:p>
    <w:p w14:paraId="4EC80AC0" w14:textId="77777777" w:rsidR="009A2EE5" w:rsidRPr="009F503C" w:rsidRDefault="009A2EE5" w:rsidP="009F503C">
      <w:pPr>
        <w:shd w:val="clear" w:color="auto" w:fill="FFFFFF"/>
        <w:spacing w:line="276" w:lineRule="auto"/>
        <w:rPr>
          <w:rFonts w:eastAsia="Times New Roman"/>
          <w:b/>
          <w:bCs/>
          <w:color w:val="000000"/>
        </w:rPr>
      </w:pPr>
    </w:p>
    <w:p w14:paraId="11854A29" w14:textId="1B1E31BB" w:rsidR="00427A19" w:rsidRDefault="009365C8" w:rsidP="009F503C">
      <w:pPr>
        <w:pStyle w:val="ListParagraph"/>
        <w:numPr>
          <w:ilvl w:val="0"/>
          <w:numId w:val="4"/>
        </w:numPr>
        <w:shd w:val="clear" w:color="auto" w:fill="FFFFFF"/>
        <w:spacing w:line="276" w:lineRule="auto"/>
        <w:rPr>
          <w:rFonts w:eastAsia="Times New Roman"/>
          <w:color w:val="000000"/>
        </w:rPr>
      </w:pPr>
      <w:r w:rsidRPr="009F503C">
        <w:rPr>
          <w:rFonts w:eastAsia="Times New Roman"/>
          <w:color w:val="000000"/>
        </w:rPr>
        <w:t xml:space="preserve">Refer </w:t>
      </w:r>
      <w:r w:rsidR="00427A19">
        <w:rPr>
          <w:rFonts w:eastAsia="Times New Roman"/>
          <w:color w:val="000000"/>
        </w:rPr>
        <w:t xml:space="preserve">Units for furniture using Furniture Bank’s referral form by email or facsimile as soon as address and date of lease signing are </w:t>
      </w:r>
      <w:proofErr w:type="gramStart"/>
      <w:r w:rsidR="00427A19">
        <w:rPr>
          <w:rFonts w:eastAsia="Times New Roman"/>
          <w:color w:val="000000"/>
        </w:rPr>
        <w:t>known;</w:t>
      </w:r>
      <w:proofErr w:type="gramEnd"/>
    </w:p>
    <w:p w14:paraId="706699E3" w14:textId="170C7391" w:rsidR="00427A19" w:rsidRDefault="00427A19" w:rsidP="009F503C">
      <w:pPr>
        <w:pStyle w:val="ListParagraph"/>
        <w:numPr>
          <w:ilvl w:val="0"/>
          <w:numId w:val="4"/>
        </w:numPr>
        <w:shd w:val="clear" w:color="auto" w:fill="FFFFFF"/>
        <w:spacing w:line="276" w:lineRule="auto"/>
        <w:rPr>
          <w:rFonts w:eastAsia="Times New Roman"/>
          <w:color w:val="000000"/>
        </w:rPr>
      </w:pPr>
      <w:r>
        <w:rPr>
          <w:rFonts w:eastAsia="Times New Roman"/>
          <w:color w:val="000000"/>
        </w:rPr>
        <w:t xml:space="preserve">Assure that Units are being utilized as temporary emergency shelters for families with children experiencing </w:t>
      </w:r>
      <w:proofErr w:type="gramStart"/>
      <w:r>
        <w:rPr>
          <w:rFonts w:eastAsia="Times New Roman"/>
          <w:color w:val="000000"/>
        </w:rPr>
        <w:t>homelessness;</w:t>
      </w:r>
      <w:proofErr w:type="gramEnd"/>
    </w:p>
    <w:p w14:paraId="1FCD77D6" w14:textId="4F77AF66" w:rsidR="00427A19" w:rsidRDefault="00427A19" w:rsidP="009F503C">
      <w:pPr>
        <w:pStyle w:val="ListParagraph"/>
        <w:numPr>
          <w:ilvl w:val="0"/>
          <w:numId w:val="4"/>
        </w:numPr>
        <w:shd w:val="clear" w:color="auto" w:fill="FFFFFF"/>
        <w:spacing w:line="276" w:lineRule="auto"/>
        <w:rPr>
          <w:rFonts w:eastAsia="Times New Roman"/>
          <w:color w:val="000000"/>
        </w:rPr>
      </w:pPr>
      <w:r>
        <w:rPr>
          <w:rFonts w:eastAsia="Times New Roman"/>
          <w:color w:val="000000"/>
        </w:rPr>
        <w:t xml:space="preserve">Coordinate with Furniture Bank’s designee the delivery of furniture, being timely and present to open the Unit for the scheduled </w:t>
      </w:r>
      <w:proofErr w:type="gramStart"/>
      <w:r>
        <w:rPr>
          <w:rFonts w:eastAsia="Times New Roman"/>
          <w:color w:val="000000"/>
        </w:rPr>
        <w:t>delivery;</w:t>
      </w:r>
      <w:proofErr w:type="gramEnd"/>
    </w:p>
    <w:p w14:paraId="3803153B" w14:textId="3D90BF8F" w:rsidR="00427A19" w:rsidRDefault="00427A19" w:rsidP="009F503C">
      <w:pPr>
        <w:pStyle w:val="ListParagraph"/>
        <w:numPr>
          <w:ilvl w:val="0"/>
          <w:numId w:val="4"/>
        </w:numPr>
        <w:shd w:val="clear" w:color="auto" w:fill="FFFFFF"/>
        <w:spacing w:line="276" w:lineRule="auto"/>
        <w:rPr>
          <w:rFonts w:eastAsia="Times New Roman"/>
          <w:color w:val="000000"/>
        </w:rPr>
      </w:pPr>
      <w:r>
        <w:rPr>
          <w:rFonts w:eastAsia="Times New Roman"/>
          <w:color w:val="000000"/>
        </w:rPr>
        <w:t xml:space="preserve">Make every effort to coordinate delivery of furniture while Unit is </w:t>
      </w:r>
      <w:proofErr w:type="gramStart"/>
      <w:r>
        <w:rPr>
          <w:rFonts w:eastAsia="Times New Roman"/>
          <w:color w:val="000000"/>
        </w:rPr>
        <w:t>vacant;</w:t>
      </w:r>
      <w:proofErr w:type="gramEnd"/>
    </w:p>
    <w:p w14:paraId="7511B32D" w14:textId="71CB0F6D" w:rsidR="00427A19" w:rsidRDefault="00427A19" w:rsidP="009F503C">
      <w:pPr>
        <w:pStyle w:val="ListParagraph"/>
        <w:numPr>
          <w:ilvl w:val="0"/>
          <w:numId w:val="4"/>
        </w:numPr>
        <w:shd w:val="clear" w:color="auto" w:fill="FFFFFF"/>
        <w:spacing w:line="276" w:lineRule="auto"/>
        <w:rPr>
          <w:rFonts w:eastAsia="Times New Roman"/>
          <w:color w:val="000000"/>
        </w:rPr>
      </w:pPr>
      <w:r>
        <w:rPr>
          <w:rFonts w:eastAsia="Times New Roman"/>
          <w:color w:val="000000"/>
        </w:rPr>
        <w:t xml:space="preserve">Pay any invoice from Furniture Bank for furniture provision and delivery at a Unit for the following amounts within 30 days of receipt: $250.00 for two-bedroom units and $500.00 for three- or four-bedroom </w:t>
      </w:r>
      <w:proofErr w:type="gramStart"/>
      <w:r>
        <w:rPr>
          <w:rFonts w:eastAsia="Times New Roman"/>
          <w:color w:val="000000"/>
        </w:rPr>
        <w:t>units;</w:t>
      </w:r>
      <w:proofErr w:type="gramEnd"/>
    </w:p>
    <w:p w14:paraId="487A85B0" w14:textId="77777777" w:rsidR="00F55BD2" w:rsidRPr="00427A19" w:rsidRDefault="00F55BD2" w:rsidP="00F55BD2">
      <w:pPr>
        <w:pStyle w:val="ListParagraph"/>
        <w:numPr>
          <w:ilvl w:val="0"/>
          <w:numId w:val="4"/>
        </w:numPr>
        <w:shd w:val="clear" w:color="auto" w:fill="FFFFFF"/>
        <w:spacing w:line="276" w:lineRule="auto"/>
        <w:rPr>
          <w:rFonts w:eastAsia="Times New Roman"/>
          <w:color w:val="000000"/>
        </w:rPr>
      </w:pPr>
      <w:r w:rsidRPr="00427A19">
        <w:rPr>
          <w:rFonts w:eastAsia="Times New Roman"/>
          <w:color w:val="000000"/>
        </w:rPr>
        <w:t>If a guest shelter family transfers the lease for the Unit into their own nam</w:t>
      </w:r>
      <w:r>
        <w:rPr>
          <w:rFonts w:eastAsia="Times New Roman"/>
          <w:color w:val="000000"/>
        </w:rPr>
        <w:t>e and takes possession of the furniture, communicate the names of the guest shelter family members and date of possession to Furniture Bank within 14 days for their record-keeping</w:t>
      </w:r>
      <w:r w:rsidRPr="00427A19">
        <w:rPr>
          <w:rFonts w:eastAsia="Times New Roman"/>
          <w:color w:val="000000"/>
        </w:rPr>
        <w:t>.</w:t>
      </w:r>
    </w:p>
    <w:p w14:paraId="46B389BE" w14:textId="62A8FD3F" w:rsidR="00427A19" w:rsidRDefault="00427A19" w:rsidP="00427A19">
      <w:pPr>
        <w:pStyle w:val="ListParagraph"/>
        <w:numPr>
          <w:ilvl w:val="0"/>
          <w:numId w:val="4"/>
        </w:numPr>
        <w:shd w:val="clear" w:color="auto" w:fill="FFFFFF"/>
        <w:spacing w:line="276" w:lineRule="auto"/>
        <w:rPr>
          <w:rFonts w:eastAsia="Times New Roman"/>
          <w:color w:val="000000"/>
        </w:rPr>
      </w:pPr>
      <w:r>
        <w:rPr>
          <w:rFonts w:eastAsia="Times New Roman"/>
          <w:color w:val="000000"/>
        </w:rPr>
        <w:t xml:space="preserve">Continue to abide by any applicable agreements in place between Shelter Provider and Furniture </w:t>
      </w:r>
      <w:proofErr w:type="gramStart"/>
      <w:r>
        <w:rPr>
          <w:rFonts w:eastAsia="Times New Roman"/>
          <w:color w:val="000000"/>
        </w:rPr>
        <w:t>Bank;</w:t>
      </w:r>
      <w:proofErr w:type="gramEnd"/>
    </w:p>
    <w:p w14:paraId="2FD59AAF" w14:textId="77777777" w:rsidR="00427A19" w:rsidRPr="00427A19" w:rsidRDefault="00427A19" w:rsidP="00427A19">
      <w:pPr>
        <w:shd w:val="clear" w:color="auto" w:fill="FFFFFF"/>
        <w:spacing w:line="276" w:lineRule="auto"/>
        <w:rPr>
          <w:rFonts w:eastAsia="Times New Roman"/>
          <w:color w:val="000000"/>
        </w:rPr>
      </w:pPr>
    </w:p>
    <w:p w14:paraId="4083B682" w14:textId="3004B59F" w:rsidR="007A0353" w:rsidRPr="009F503C" w:rsidRDefault="007A0353" w:rsidP="009F503C">
      <w:pPr>
        <w:shd w:val="clear" w:color="auto" w:fill="FFFFFF"/>
        <w:spacing w:line="276" w:lineRule="auto"/>
        <w:rPr>
          <w:rFonts w:eastAsia="Times New Roman"/>
          <w:color w:val="000000"/>
        </w:rPr>
      </w:pPr>
      <w:r w:rsidRPr="00316295">
        <w:rPr>
          <w:rFonts w:eastAsia="Times New Roman"/>
          <w:b/>
          <w:bCs/>
          <w:color w:val="000000"/>
          <w:u w:val="single"/>
        </w:rPr>
        <w:t>Term</w:t>
      </w:r>
      <w:r w:rsidRPr="009F503C">
        <w:rPr>
          <w:rFonts w:eastAsia="Times New Roman"/>
          <w:b/>
          <w:bCs/>
          <w:color w:val="000000"/>
        </w:rPr>
        <w:t xml:space="preserve">: </w:t>
      </w:r>
      <w:r w:rsidRPr="009F503C">
        <w:rPr>
          <w:rFonts w:eastAsia="Times New Roman"/>
          <w:color w:val="000000"/>
        </w:rPr>
        <w:t xml:space="preserve">This MOU is effective upon the date last signed and executed by the duly authorized representatives of the </w:t>
      </w:r>
      <w:r w:rsidR="009F503C" w:rsidRPr="009F503C">
        <w:rPr>
          <w:rFonts w:eastAsia="Times New Roman"/>
          <w:color w:val="000000"/>
        </w:rPr>
        <w:t>P</w:t>
      </w:r>
      <w:r w:rsidRPr="009F503C">
        <w:rPr>
          <w:rFonts w:eastAsia="Times New Roman"/>
          <w:color w:val="000000"/>
        </w:rPr>
        <w:t xml:space="preserve">arties to this </w:t>
      </w:r>
      <w:proofErr w:type="gramStart"/>
      <w:r w:rsidRPr="009F503C">
        <w:rPr>
          <w:rFonts w:eastAsia="Times New Roman"/>
          <w:color w:val="000000"/>
        </w:rPr>
        <w:t>MOU, and</w:t>
      </w:r>
      <w:proofErr w:type="gramEnd"/>
      <w:r w:rsidRPr="009F503C">
        <w:rPr>
          <w:rFonts w:eastAsia="Times New Roman"/>
          <w:color w:val="000000"/>
        </w:rPr>
        <w:t xml:space="preserve"> shall remain in full force and effect </w:t>
      </w:r>
      <w:r w:rsidR="00484BDB" w:rsidRPr="009F503C">
        <w:rPr>
          <w:rFonts w:eastAsia="Times New Roman"/>
          <w:color w:val="000000"/>
        </w:rPr>
        <w:t>until</w:t>
      </w:r>
      <w:r w:rsidR="00427A19">
        <w:rPr>
          <w:rFonts w:eastAsia="Times New Roman"/>
          <w:color w:val="000000"/>
        </w:rPr>
        <w:t xml:space="preserve"> terminated in writing by either party</w:t>
      </w:r>
      <w:r w:rsidR="003203D2" w:rsidRPr="009F503C">
        <w:rPr>
          <w:rFonts w:eastAsia="Times New Roman"/>
          <w:color w:val="000000"/>
        </w:rPr>
        <w:t xml:space="preserve">. </w:t>
      </w:r>
      <w:r w:rsidR="00484BDB" w:rsidRPr="009F503C">
        <w:rPr>
          <w:rFonts w:eastAsia="Times New Roman"/>
          <w:color w:val="000000"/>
        </w:rPr>
        <w:t xml:space="preserve"> </w:t>
      </w:r>
    </w:p>
    <w:p w14:paraId="17FD7F0F" w14:textId="679B8B79" w:rsidR="007A0353" w:rsidRPr="009F503C" w:rsidRDefault="007A0353" w:rsidP="009F503C">
      <w:pPr>
        <w:shd w:val="clear" w:color="auto" w:fill="FFFFFF"/>
        <w:spacing w:line="276" w:lineRule="auto"/>
        <w:rPr>
          <w:rFonts w:eastAsia="Times New Roman"/>
          <w:b/>
          <w:bCs/>
          <w:color w:val="000000"/>
        </w:rPr>
      </w:pPr>
    </w:p>
    <w:p w14:paraId="73BE06A6" w14:textId="576D485D" w:rsidR="00A72125" w:rsidRPr="009F503C" w:rsidRDefault="00A72125" w:rsidP="009F503C">
      <w:pPr>
        <w:shd w:val="clear" w:color="auto" w:fill="FFFFFF"/>
        <w:spacing w:line="276" w:lineRule="auto"/>
        <w:rPr>
          <w:rFonts w:eastAsia="Times New Roman"/>
          <w:color w:val="000000"/>
        </w:rPr>
      </w:pPr>
      <w:r w:rsidRPr="00316295">
        <w:rPr>
          <w:rFonts w:eastAsia="Times New Roman"/>
          <w:b/>
          <w:bCs/>
          <w:color w:val="000000"/>
          <w:u w:val="single"/>
        </w:rPr>
        <w:t>Limitations in Scope</w:t>
      </w:r>
      <w:r w:rsidRPr="009F503C">
        <w:rPr>
          <w:rFonts w:eastAsia="Times New Roman"/>
          <w:b/>
          <w:bCs/>
          <w:color w:val="000000"/>
        </w:rPr>
        <w:t xml:space="preserve">: </w:t>
      </w:r>
      <w:r w:rsidRPr="009F503C">
        <w:rPr>
          <w:rFonts w:eastAsia="Times New Roman"/>
          <w:color w:val="000000"/>
        </w:rPr>
        <w:t xml:space="preserve">The Parties agree that this MOU is not binding on either Party, </w:t>
      </w:r>
      <w:proofErr w:type="gramStart"/>
      <w:r w:rsidRPr="009F503C">
        <w:rPr>
          <w:rFonts w:eastAsia="Times New Roman"/>
          <w:color w:val="000000"/>
        </w:rPr>
        <w:t>and</w:t>
      </w:r>
      <w:proofErr w:type="gramEnd"/>
      <w:r w:rsidRPr="009F503C">
        <w:rPr>
          <w:rFonts w:eastAsia="Times New Roman"/>
          <w:color w:val="000000"/>
        </w:rPr>
        <w:t xml:space="preserve"> is intended only to memorialize the guidelines of the </w:t>
      </w:r>
      <w:r w:rsidR="00F55BD2">
        <w:rPr>
          <w:rFonts w:eastAsia="Times New Roman"/>
          <w:color w:val="000000"/>
        </w:rPr>
        <w:t>partnership</w:t>
      </w:r>
      <w:r w:rsidR="009A2EE5" w:rsidRPr="009F503C">
        <w:rPr>
          <w:rFonts w:eastAsia="Times New Roman"/>
          <w:color w:val="000000"/>
        </w:rPr>
        <w:t>.</w:t>
      </w:r>
      <w:r w:rsidR="009A2EE5" w:rsidRPr="009F503C">
        <w:rPr>
          <w:rFonts w:eastAsia="Times New Roman"/>
          <w:b/>
          <w:bCs/>
          <w:i/>
          <w:iCs/>
          <w:color w:val="000000"/>
          <w:u w:val="single"/>
        </w:rPr>
        <w:t xml:space="preserve"> </w:t>
      </w:r>
      <w:r w:rsidRPr="009F503C">
        <w:rPr>
          <w:rFonts w:eastAsia="Times New Roman"/>
          <w:color w:val="000000"/>
        </w:rPr>
        <w:t xml:space="preserve"> </w:t>
      </w:r>
    </w:p>
    <w:p w14:paraId="24518D04" w14:textId="77777777" w:rsidR="00A72125" w:rsidRPr="009F503C" w:rsidRDefault="00A72125" w:rsidP="009F503C">
      <w:pPr>
        <w:shd w:val="clear" w:color="auto" w:fill="FFFFFF"/>
        <w:spacing w:line="276" w:lineRule="auto"/>
        <w:rPr>
          <w:rFonts w:eastAsia="Times New Roman"/>
          <w:color w:val="000000"/>
        </w:rPr>
      </w:pPr>
    </w:p>
    <w:p w14:paraId="45CCBBFA" w14:textId="2FEDBE4F" w:rsidR="00557A16" w:rsidRPr="009F503C" w:rsidRDefault="00FE31CB" w:rsidP="009F503C">
      <w:pPr>
        <w:shd w:val="clear" w:color="auto" w:fill="FFFFFF"/>
        <w:spacing w:line="276" w:lineRule="auto"/>
        <w:rPr>
          <w:rFonts w:eastAsia="Times New Roman"/>
          <w:color w:val="000000"/>
        </w:rPr>
      </w:pPr>
      <w:r w:rsidRPr="00316295">
        <w:rPr>
          <w:rFonts w:eastAsia="Times New Roman"/>
          <w:color w:val="000000"/>
          <w:u w:val="single"/>
        </w:rPr>
        <w:lastRenderedPageBreak/>
        <w:t> </w:t>
      </w:r>
      <w:r w:rsidR="00A72125" w:rsidRPr="00316295">
        <w:rPr>
          <w:rFonts w:eastAsia="Times New Roman"/>
          <w:b/>
          <w:bCs/>
          <w:color w:val="000000"/>
          <w:u w:val="single"/>
        </w:rPr>
        <w:t>Applicable Law</w:t>
      </w:r>
      <w:r w:rsidR="00A72125" w:rsidRPr="009F503C">
        <w:rPr>
          <w:rFonts w:eastAsia="Times New Roman"/>
          <w:b/>
          <w:bCs/>
          <w:color w:val="000000"/>
        </w:rPr>
        <w:t xml:space="preserve">: </w:t>
      </w:r>
      <w:r w:rsidR="00A72125" w:rsidRPr="009F503C">
        <w:rPr>
          <w:rFonts w:eastAsia="Times New Roman"/>
          <w:color w:val="000000"/>
        </w:rPr>
        <w:t>The construction, interpretation, and enforcement of this MOU shall be governed by the laws of the State of Indiana. The courts of the State of Indiana shall have jurisdiction over any action arising out of this MOU and over the parties, and the venue shall be Marion County, Indiana.</w:t>
      </w:r>
    </w:p>
    <w:p w14:paraId="6FE3E7FE" w14:textId="77777777" w:rsidR="00557A16" w:rsidRPr="009F503C" w:rsidRDefault="00557A16" w:rsidP="009F503C">
      <w:pPr>
        <w:shd w:val="clear" w:color="auto" w:fill="FFFFFF"/>
        <w:spacing w:line="276" w:lineRule="auto"/>
        <w:rPr>
          <w:rFonts w:eastAsia="Times New Roman"/>
          <w:color w:val="000000"/>
        </w:rPr>
      </w:pPr>
    </w:p>
    <w:p w14:paraId="1547E274" w14:textId="7CF04F13" w:rsidR="00557A16" w:rsidRPr="009F503C" w:rsidRDefault="00557A16" w:rsidP="009F503C">
      <w:pPr>
        <w:shd w:val="clear" w:color="auto" w:fill="FFFFFF"/>
        <w:spacing w:line="276" w:lineRule="auto"/>
        <w:rPr>
          <w:rFonts w:eastAsia="Times New Roman"/>
          <w:color w:val="000000"/>
        </w:rPr>
      </w:pPr>
      <w:r w:rsidRPr="00316295">
        <w:rPr>
          <w:rFonts w:eastAsia="Times New Roman"/>
          <w:b/>
          <w:bCs/>
          <w:color w:val="000000"/>
          <w:u w:val="single"/>
        </w:rPr>
        <w:t>Entirety of Agreement</w:t>
      </w:r>
      <w:r w:rsidRPr="009F503C">
        <w:rPr>
          <w:rFonts w:eastAsia="Times New Roman"/>
          <w:b/>
          <w:bCs/>
          <w:color w:val="000000"/>
        </w:rPr>
        <w:t xml:space="preserve">: </w:t>
      </w:r>
      <w:r w:rsidRPr="009F503C">
        <w:rPr>
          <w:rFonts w:eastAsia="Times New Roman"/>
          <w:color w:val="000000"/>
        </w:rPr>
        <w:t>This MOU, consisting of t</w:t>
      </w:r>
      <w:r w:rsidR="00316295">
        <w:rPr>
          <w:rFonts w:eastAsia="Times New Roman"/>
          <w:color w:val="000000"/>
        </w:rPr>
        <w:t>hree (3</w:t>
      </w:r>
      <w:r w:rsidRPr="009F503C">
        <w:rPr>
          <w:rFonts w:eastAsia="Times New Roman"/>
          <w:color w:val="000000"/>
        </w:rPr>
        <w:t>) pages</w:t>
      </w:r>
      <w:r w:rsidR="009A2EE5" w:rsidRPr="009F503C">
        <w:rPr>
          <w:rFonts w:eastAsia="Times New Roman"/>
          <w:color w:val="000000"/>
        </w:rPr>
        <w:t>, inclusive of a Signature Page,</w:t>
      </w:r>
      <w:r w:rsidRPr="009F503C">
        <w:rPr>
          <w:rFonts w:eastAsia="Times New Roman"/>
          <w:color w:val="000000"/>
        </w:rPr>
        <w:t xml:space="preserve"> </w:t>
      </w:r>
      <w:r w:rsidR="00B05461">
        <w:rPr>
          <w:rFonts w:eastAsia="Times New Roman"/>
          <w:color w:val="000000"/>
        </w:rPr>
        <w:t xml:space="preserve">and a one (1)-page Addendum, </w:t>
      </w:r>
      <w:r w:rsidRPr="009F503C">
        <w:rPr>
          <w:rFonts w:eastAsia="Times New Roman"/>
          <w:color w:val="000000"/>
        </w:rPr>
        <w:t xml:space="preserve">represents the entire and integrated </w:t>
      </w:r>
      <w:r w:rsidR="003203D2" w:rsidRPr="009F503C">
        <w:rPr>
          <w:rFonts w:eastAsia="Times New Roman"/>
          <w:color w:val="000000"/>
        </w:rPr>
        <w:t>understanding</w:t>
      </w:r>
      <w:r w:rsidRPr="009F503C">
        <w:rPr>
          <w:rFonts w:eastAsia="Times New Roman"/>
          <w:color w:val="000000"/>
        </w:rPr>
        <w:t xml:space="preserve"> between the parties and supersedes all prior negotiations, representations, and agreements, whether written or oral. </w:t>
      </w:r>
    </w:p>
    <w:p w14:paraId="792A9D3C" w14:textId="77777777" w:rsidR="009A2EE5" w:rsidRPr="009F503C" w:rsidRDefault="009A2EE5" w:rsidP="009F503C">
      <w:pPr>
        <w:spacing w:line="276" w:lineRule="auto"/>
        <w:rPr>
          <w:b/>
          <w:bCs/>
        </w:rPr>
      </w:pPr>
    </w:p>
    <w:p w14:paraId="6FFA1D42" w14:textId="77777777" w:rsidR="00E45BC3" w:rsidRPr="009F503C" w:rsidRDefault="00E45BC3" w:rsidP="009F503C">
      <w:pPr>
        <w:spacing w:line="276" w:lineRule="auto"/>
        <w:jc w:val="center"/>
        <w:rPr>
          <w:b/>
          <w:bCs/>
        </w:rPr>
      </w:pPr>
    </w:p>
    <w:p w14:paraId="694161DD" w14:textId="77777777" w:rsidR="00E45BC3" w:rsidRPr="009F503C" w:rsidRDefault="00E45BC3" w:rsidP="009F503C">
      <w:pPr>
        <w:spacing w:line="276" w:lineRule="auto"/>
        <w:jc w:val="center"/>
        <w:rPr>
          <w:b/>
          <w:bCs/>
          <w:u w:val="single"/>
        </w:rPr>
      </w:pPr>
      <w:r w:rsidRPr="009F503C">
        <w:rPr>
          <w:b/>
          <w:bCs/>
          <w:u w:val="single"/>
        </w:rPr>
        <w:t>SIGNATURES</w:t>
      </w:r>
    </w:p>
    <w:p w14:paraId="0C5442EA" w14:textId="77777777" w:rsidR="00E45BC3" w:rsidRPr="009F503C" w:rsidRDefault="00E45BC3" w:rsidP="009F503C">
      <w:pPr>
        <w:spacing w:line="276" w:lineRule="auto"/>
        <w:jc w:val="center"/>
        <w:rPr>
          <w:b/>
          <w:bCs/>
        </w:rPr>
      </w:pPr>
    </w:p>
    <w:p w14:paraId="34A6FEE2" w14:textId="7173189B" w:rsidR="00244745" w:rsidRPr="009F503C" w:rsidRDefault="00244745" w:rsidP="009F503C">
      <w:pPr>
        <w:spacing w:line="276" w:lineRule="auto"/>
        <w:ind w:firstLine="720"/>
      </w:pPr>
      <w:r w:rsidRPr="009F503C">
        <w:rPr>
          <w:rFonts w:eastAsia="Times New Roman"/>
          <w:b/>
          <w:bCs/>
          <w:color w:val="000000"/>
        </w:rPr>
        <w:t>IN WITNESS WHEREOF,</w:t>
      </w:r>
      <w:r w:rsidRPr="009F503C">
        <w:t xml:space="preserve"> </w:t>
      </w:r>
      <w:r w:rsidR="00F55BD2">
        <w:rPr>
          <w:rFonts w:eastAsia="Times New Roman"/>
          <w:color w:val="000000"/>
        </w:rPr>
        <w:t>Furniture Bank and Shelter Provider</w:t>
      </w:r>
      <w:r w:rsidRPr="009F503C">
        <w:rPr>
          <w:rFonts w:eastAsia="Times New Roman"/>
          <w:color w:val="000000"/>
        </w:rPr>
        <w:t xml:space="preserve"> have executed this Agreement in Indianapolis, Indiana on the dates subscribed below.</w:t>
      </w:r>
    </w:p>
    <w:p w14:paraId="058CEA8A" w14:textId="77777777" w:rsidR="00244745" w:rsidRPr="009F503C" w:rsidRDefault="00244745" w:rsidP="00244745"/>
    <w:p w14:paraId="0A0E59B9" w14:textId="77777777" w:rsidR="00244745" w:rsidRPr="009F503C" w:rsidRDefault="00244745" w:rsidP="00244745">
      <w:pPr>
        <w:rPr>
          <w:b/>
        </w:rPr>
      </w:pPr>
    </w:p>
    <w:p w14:paraId="6394BA6A" w14:textId="1B0D5E0B" w:rsidR="00244745" w:rsidRPr="009F503C" w:rsidRDefault="00F55BD2" w:rsidP="003203D2">
      <w:pPr>
        <w:jc w:val="center"/>
        <w:rPr>
          <w:b/>
          <w:u w:val="single"/>
        </w:rPr>
      </w:pPr>
      <w:r>
        <w:rPr>
          <w:b/>
          <w:u w:val="single"/>
        </w:rPr>
        <w:t>The Mustard Seed of Central Indiana, Inc.</w:t>
      </w:r>
      <w:r w:rsidR="009F503C" w:rsidRPr="009F503C">
        <w:rPr>
          <w:b/>
          <w:u w:val="single"/>
        </w:rPr>
        <w:t xml:space="preserve"> (“</w:t>
      </w:r>
      <w:r>
        <w:rPr>
          <w:b/>
          <w:u w:val="single"/>
        </w:rPr>
        <w:t>Furniture Bank</w:t>
      </w:r>
      <w:r w:rsidR="009F503C" w:rsidRPr="009F503C">
        <w:rPr>
          <w:b/>
          <w:u w:val="single"/>
        </w:rPr>
        <w:t>”)</w:t>
      </w:r>
    </w:p>
    <w:p w14:paraId="7C81B2E1" w14:textId="77777777" w:rsidR="00244745" w:rsidRPr="009F503C" w:rsidRDefault="00244745" w:rsidP="006E1A33">
      <w:pPr>
        <w:pStyle w:val="Footer"/>
        <w:tabs>
          <w:tab w:val="left" w:pos="1260"/>
        </w:tabs>
        <w:rPr>
          <w:rFonts w:cs="Times New Roman"/>
        </w:rPr>
      </w:pPr>
    </w:p>
    <w:p w14:paraId="08242DDA" w14:textId="77777777" w:rsidR="009F503C" w:rsidRPr="009F503C" w:rsidRDefault="009F503C" w:rsidP="009F503C">
      <w:pPr>
        <w:tabs>
          <w:tab w:val="left" w:pos="1260"/>
        </w:tabs>
        <w:jc w:val="center"/>
      </w:pPr>
    </w:p>
    <w:p w14:paraId="307BA47A" w14:textId="0A84A80E" w:rsidR="00316295" w:rsidRDefault="00316295" w:rsidP="00316295">
      <w:pPr>
        <w:tabs>
          <w:tab w:val="left" w:pos="1260"/>
        </w:tabs>
        <w:jc w:val="center"/>
        <w:rPr>
          <w:u w:val="single"/>
        </w:rPr>
      </w:pPr>
      <w:r>
        <w:t>Signature</w:t>
      </w:r>
      <w:r w:rsidR="009F503C" w:rsidRPr="009F503C">
        <w:t>:</w:t>
      </w:r>
      <w:r w:rsidR="009F503C" w:rsidRPr="009F503C">
        <w:tab/>
      </w:r>
      <w:r w:rsidR="009F503C" w:rsidRPr="009F503C">
        <w:rPr>
          <w:u w:val="single"/>
        </w:rPr>
        <w:tab/>
      </w:r>
      <w:r w:rsidR="009F503C" w:rsidRPr="009F503C">
        <w:rPr>
          <w:u w:val="single"/>
        </w:rPr>
        <w:tab/>
      </w:r>
      <w:r w:rsidR="009F503C" w:rsidRPr="009F503C">
        <w:rPr>
          <w:u w:val="single"/>
        </w:rPr>
        <w:tab/>
      </w:r>
      <w:r w:rsidR="009F503C" w:rsidRPr="009F503C">
        <w:rPr>
          <w:u w:val="single"/>
        </w:rPr>
        <w:tab/>
        <w:t>_________</w:t>
      </w:r>
    </w:p>
    <w:p w14:paraId="6FF4704D" w14:textId="5B84809E" w:rsidR="00316295" w:rsidRDefault="00316295" w:rsidP="00316295">
      <w:pPr>
        <w:tabs>
          <w:tab w:val="left" w:pos="1260"/>
        </w:tabs>
        <w:rPr>
          <w:u w:val="single"/>
        </w:rPr>
      </w:pPr>
    </w:p>
    <w:p w14:paraId="054702BF" w14:textId="2E8BCF81" w:rsidR="00316295" w:rsidRPr="00316295" w:rsidRDefault="00316295" w:rsidP="00316295">
      <w:pPr>
        <w:tabs>
          <w:tab w:val="left" w:pos="1260"/>
        </w:tabs>
      </w:pPr>
      <w:r>
        <w:tab/>
      </w:r>
      <w:r>
        <w:tab/>
      </w:r>
      <w:r>
        <w:tab/>
        <w:t xml:space="preserve">   Print:            _____________________________</w:t>
      </w:r>
    </w:p>
    <w:p w14:paraId="07292316" w14:textId="301F345D" w:rsidR="00316295" w:rsidRDefault="00316295" w:rsidP="00316295">
      <w:pPr>
        <w:tabs>
          <w:tab w:val="left" w:pos="1260"/>
        </w:tabs>
        <w:rPr>
          <w:u w:val="single"/>
        </w:rPr>
      </w:pPr>
    </w:p>
    <w:p w14:paraId="3828998B" w14:textId="7A222224" w:rsidR="00316295" w:rsidRPr="00316295" w:rsidRDefault="00316295" w:rsidP="00316295">
      <w:pPr>
        <w:tabs>
          <w:tab w:val="left" w:pos="1260"/>
        </w:tabs>
      </w:pPr>
      <w:r>
        <w:tab/>
      </w:r>
      <w:r>
        <w:tab/>
      </w:r>
      <w:r>
        <w:tab/>
        <w:t xml:space="preserve">   Position:       _____________________________</w:t>
      </w:r>
    </w:p>
    <w:p w14:paraId="661E91A9" w14:textId="77777777" w:rsidR="009F503C" w:rsidRPr="009F503C" w:rsidRDefault="009F503C" w:rsidP="009F503C">
      <w:pPr>
        <w:tabs>
          <w:tab w:val="left" w:pos="1260"/>
        </w:tabs>
        <w:jc w:val="center"/>
      </w:pPr>
    </w:p>
    <w:p w14:paraId="3DC6E0AE" w14:textId="77777777" w:rsidR="009F503C" w:rsidRPr="009F503C" w:rsidRDefault="009F503C" w:rsidP="009F503C">
      <w:pPr>
        <w:tabs>
          <w:tab w:val="left" w:pos="1260"/>
        </w:tabs>
        <w:jc w:val="center"/>
        <w:rPr>
          <w:u w:val="single"/>
        </w:rPr>
      </w:pPr>
      <w:r w:rsidRPr="009F503C">
        <w:t>Date:</w:t>
      </w:r>
      <w:r w:rsidRPr="009F503C">
        <w:tab/>
      </w:r>
      <w:r w:rsidRPr="009F503C">
        <w:rPr>
          <w:u w:val="single"/>
        </w:rPr>
        <w:tab/>
      </w:r>
      <w:r w:rsidRPr="009F503C">
        <w:rPr>
          <w:u w:val="single"/>
        </w:rPr>
        <w:tab/>
      </w:r>
      <w:r w:rsidRPr="009F503C">
        <w:rPr>
          <w:u w:val="single"/>
        </w:rPr>
        <w:tab/>
      </w:r>
      <w:r w:rsidRPr="009F503C">
        <w:rPr>
          <w:u w:val="single"/>
        </w:rPr>
        <w:tab/>
      </w:r>
      <w:r w:rsidRPr="009F503C">
        <w:rPr>
          <w:u w:val="single"/>
        </w:rPr>
        <w:tab/>
        <w:t>___</w:t>
      </w:r>
    </w:p>
    <w:p w14:paraId="644BE055" w14:textId="77777777" w:rsidR="00244745" w:rsidRPr="009F503C" w:rsidRDefault="00244745" w:rsidP="003203D2">
      <w:pPr>
        <w:pStyle w:val="Header"/>
        <w:tabs>
          <w:tab w:val="left" w:pos="1260"/>
        </w:tabs>
        <w:jc w:val="center"/>
        <w:rPr>
          <w:rFonts w:cs="Times New Roman"/>
          <w:u w:val="single"/>
        </w:rPr>
      </w:pPr>
    </w:p>
    <w:p w14:paraId="4DEA01CF" w14:textId="77777777" w:rsidR="00244745" w:rsidRPr="009F503C" w:rsidRDefault="00244745" w:rsidP="003203D2">
      <w:pPr>
        <w:jc w:val="center"/>
        <w:rPr>
          <w:b/>
        </w:rPr>
      </w:pPr>
    </w:p>
    <w:p w14:paraId="25542F61" w14:textId="77777777" w:rsidR="00244745" w:rsidRPr="009F503C" w:rsidRDefault="00244745" w:rsidP="003203D2">
      <w:pPr>
        <w:jc w:val="center"/>
        <w:rPr>
          <w:b/>
        </w:rPr>
      </w:pPr>
    </w:p>
    <w:p w14:paraId="29AA532A" w14:textId="26A4E5EB" w:rsidR="00244745" w:rsidRPr="009F503C" w:rsidRDefault="00F55BD2" w:rsidP="003203D2">
      <w:pPr>
        <w:jc w:val="center"/>
        <w:rPr>
          <w:b/>
          <w:u w:val="single"/>
        </w:rPr>
      </w:pPr>
      <w:r>
        <w:rPr>
          <w:b/>
          <w:u w:val="single"/>
        </w:rPr>
        <w:t>Family Promise of Greater Indianapolis, Inc.</w:t>
      </w:r>
      <w:r w:rsidR="009F503C" w:rsidRPr="009F503C">
        <w:rPr>
          <w:b/>
          <w:u w:val="single"/>
        </w:rPr>
        <w:t xml:space="preserve"> (“</w:t>
      </w:r>
      <w:r>
        <w:rPr>
          <w:b/>
          <w:u w:val="single"/>
        </w:rPr>
        <w:t>Shelter Provider</w:t>
      </w:r>
      <w:r w:rsidR="009F503C" w:rsidRPr="009F503C">
        <w:rPr>
          <w:b/>
          <w:u w:val="single"/>
        </w:rPr>
        <w:t>”)</w:t>
      </w:r>
    </w:p>
    <w:p w14:paraId="06452B35" w14:textId="77777777" w:rsidR="00244745" w:rsidRPr="009F503C" w:rsidRDefault="00244745" w:rsidP="003203D2">
      <w:pPr>
        <w:pStyle w:val="Footer"/>
        <w:tabs>
          <w:tab w:val="left" w:pos="1260"/>
        </w:tabs>
        <w:jc w:val="center"/>
        <w:rPr>
          <w:rFonts w:cs="Times New Roman"/>
        </w:rPr>
      </w:pPr>
    </w:p>
    <w:p w14:paraId="1E9F14B3" w14:textId="77777777" w:rsidR="00316295" w:rsidRDefault="00316295" w:rsidP="00316295">
      <w:pPr>
        <w:tabs>
          <w:tab w:val="left" w:pos="1260"/>
        </w:tabs>
        <w:jc w:val="center"/>
      </w:pPr>
    </w:p>
    <w:p w14:paraId="69C48C85" w14:textId="6736065D" w:rsidR="00316295" w:rsidRDefault="00316295" w:rsidP="00316295">
      <w:pPr>
        <w:tabs>
          <w:tab w:val="left" w:pos="1260"/>
        </w:tabs>
        <w:jc w:val="center"/>
        <w:rPr>
          <w:u w:val="single"/>
        </w:rPr>
      </w:pPr>
      <w:r>
        <w:t>Signature</w:t>
      </w:r>
      <w:r w:rsidRPr="009F503C">
        <w:t>:</w:t>
      </w:r>
      <w:r w:rsidRPr="009F503C">
        <w:tab/>
      </w:r>
      <w:r w:rsidRPr="009F503C">
        <w:rPr>
          <w:u w:val="single"/>
        </w:rPr>
        <w:tab/>
      </w:r>
      <w:r w:rsidRPr="009F503C">
        <w:rPr>
          <w:u w:val="single"/>
        </w:rPr>
        <w:tab/>
      </w:r>
      <w:r w:rsidRPr="009F503C">
        <w:rPr>
          <w:u w:val="single"/>
        </w:rPr>
        <w:tab/>
      </w:r>
      <w:r w:rsidRPr="009F503C">
        <w:rPr>
          <w:u w:val="single"/>
        </w:rPr>
        <w:tab/>
        <w:t>_________</w:t>
      </w:r>
    </w:p>
    <w:p w14:paraId="344FBE75" w14:textId="77777777" w:rsidR="00316295" w:rsidRDefault="00316295" w:rsidP="00316295">
      <w:pPr>
        <w:tabs>
          <w:tab w:val="left" w:pos="1260"/>
        </w:tabs>
        <w:rPr>
          <w:u w:val="single"/>
        </w:rPr>
      </w:pPr>
    </w:p>
    <w:p w14:paraId="724A56CF" w14:textId="77777777" w:rsidR="00316295" w:rsidRPr="00316295" w:rsidRDefault="00316295" w:rsidP="00316295">
      <w:pPr>
        <w:tabs>
          <w:tab w:val="left" w:pos="1260"/>
        </w:tabs>
      </w:pPr>
      <w:r>
        <w:tab/>
      </w:r>
      <w:r>
        <w:tab/>
      </w:r>
      <w:r>
        <w:tab/>
        <w:t xml:space="preserve">   Print:            _____________________________</w:t>
      </w:r>
    </w:p>
    <w:p w14:paraId="28F127E8" w14:textId="77777777" w:rsidR="00316295" w:rsidRDefault="00316295" w:rsidP="00316295">
      <w:pPr>
        <w:tabs>
          <w:tab w:val="left" w:pos="1260"/>
        </w:tabs>
        <w:rPr>
          <w:u w:val="single"/>
        </w:rPr>
      </w:pPr>
    </w:p>
    <w:p w14:paraId="4694A78D" w14:textId="77777777" w:rsidR="00316295" w:rsidRPr="00316295" w:rsidRDefault="00316295" w:rsidP="00316295">
      <w:pPr>
        <w:tabs>
          <w:tab w:val="left" w:pos="1260"/>
        </w:tabs>
      </w:pPr>
      <w:r>
        <w:tab/>
      </w:r>
      <w:r>
        <w:tab/>
      </w:r>
      <w:r>
        <w:tab/>
        <w:t xml:space="preserve">   Position:       _____________________________</w:t>
      </w:r>
    </w:p>
    <w:p w14:paraId="4FECB5DF" w14:textId="77777777" w:rsidR="00316295" w:rsidRPr="009F503C" w:rsidRDefault="00316295" w:rsidP="00316295">
      <w:pPr>
        <w:tabs>
          <w:tab w:val="left" w:pos="1260"/>
        </w:tabs>
        <w:jc w:val="center"/>
      </w:pPr>
    </w:p>
    <w:p w14:paraId="2A9A63D5" w14:textId="2A16794D" w:rsidR="002E60CF" w:rsidRDefault="00316295" w:rsidP="006E1A33">
      <w:pPr>
        <w:tabs>
          <w:tab w:val="left" w:pos="1260"/>
        </w:tabs>
        <w:jc w:val="center"/>
        <w:rPr>
          <w:u w:val="single"/>
        </w:rPr>
      </w:pPr>
      <w:r w:rsidRPr="009F503C">
        <w:t>Date:</w:t>
      </w:r>
      <w:r w:rsidRPr="009F503C">
        <w:tab/>
      </w:r>
      <w:r w:rsidRPr="009F503C">
        <w:rPr>
          <w:u w:val="single"/>
        </w:rPr>
        <w:tab/>
      </w:r>
      <w:r w:rsidRPr="009F503C">
        <w:rPr>
          <w:u w:val="single"/>
        </w:rPr>
        <w:tab/>
      </w:r>
      <w:r w:rsidRPr="009F503C">
        <w:rPr>
          <w:u w:val="single"/>
        </w:rPr>
        <w:tab/>
      </w:r>
      <w:r w:rsidRPr="009F503C">
        <w:rPr>
          <w:u w:val="single"/>
        </w:rPr>
        <w:tab/>
      </w:r>
      <w:r w:rsidRPr="009F503C">
        <w:rPr>
          <w:u w:val="single"/>
        </w:rPr>
        <w:tab/>
        <w:t>___</w:t>
      </w:r>
    </w:p>
    <w:p w14:paraId="3B3839F1" w14:textId="28486433" w:rsidR="00B05461" w:rsidRDefault="00B05461">
      <w:pPr>
        <w:spacing w:after="160" w:line="259" w:lineRule="auto"/>
        <w:rPr>
          <w:u w:val="single"/>
        </w:rPr>
      </w:pPr>
      <w:r>
        <w:rPr>
          <w:u w:val="single"/>
        </w:rPr>
        <w:br w:type="page"/>
      </w:r>
    </w:p>
    <w:p w14:paraId="7C38C45A" w14:textId="2869EA7E" w:rsidR="00B05461" w:rsidRPr="00B05003" w:rsidRDefault="00B05461" w:rsidP="00B05461">
      <w:pPr>
        <w:tabs>
          <w:tab w:val="left" w:pos="1260"/>
        </w:tabs>
        <w:rPr>
          <w:b/>
          <w:bCs/>
          <w:u w:val="single"/>
        </w:rPr>
      </w:pPr>
      <w:r w:rsidRPr="00B05003">
        <w:rPr>
          <w:b/>
          <w:bCs/>
          <w:u w:val="single"/>
        </w:rPr>
        <w:lastRenderedPageBreak/>
        <w:t>Addendum: Minimum List of Furniture to be provided by Furniture Bank</w:t>
      </w:r>
    </w:p>
    <w:p w14:paraId="1E9F7233" w14:textId="65ECD75B" w:rsidR="00B05461" w:rsidRDefault="00B05461" w:rsidP="00B05461">
      <w:pPr>
        <w:tabs>
          <w:tab w:val="left" w:pos="1260"/>
        </w:tabs>
        <w:rPr>
          <w:b/>
          <w:bCs/>
          <w:u w:val="single"/>
        </w:rPr>
      </w:pPr>
    </w:p>
    <w:tbl>
      <w:tblPr>
        <w:tblStyle w:val="TableGrid"/>
        <w:tblW w:w="9535" w:type="dxa"/>
        <w:tblLook w:val="04A0" w:firstRow="1" w:lastRow="0" w:firstColumn="1" w:lastColumn="0" w:noHBand="0" w:noVBand="1"/>
      </w:tblPr>
      <w:tblGrid>
        <w:gridCol w:w="4315"/>
        <w:gridCol w:w="1800"/>
        <w:gridCol w:w="1639"/>
        <w:gridCol w:w="64"/>
        <w:gridCol w:w="1717"/>
      </w:tblGrid>
      <w:tr w:rsidR="00B05003" w14:paraId="00F785D8" w14:textId="77777777" w:rsidTr="00B05003">
        <w:tc>
          <w:tcPr>
            <w:tcW w:w="4315" w:type="dxa"/>
          </w:tcPr>
          <w:p w14:paraId="410560A3" w14:textId="65069243" w:rsidR="00B05003" w:rsidRPr="00B05461" w:rsidRDefault="00B05003" w:rsidP="00B05461">
            <w:pPr>
              <w:tabs>
                <w:tab w:val="left" w:pos="1260"/>
              </w:tabs>
              <w:jc w:val="center"/>
              <w:rPr>
                <w:b/>
                <w:bCs/>
              </w:rPr>
            </w:pPr>
            <w:r w:rsidRPr="00B05461">
              <w:rPr>
                <w:b/>
                <w:bCs/>
              </w:rPr>
              <w:t>Item</w:t>
            </w:r>
          </w:p>
        </w:tc>
        <w:tc>
          <w:tcPr>
            <w:tcW w:w="1800" w:type="dxa"/>
          </w:tcPr>
          <w:p w14:paraId="1B1A4680" w14:textId="77777777" w:rsidR="00B05003" w:rsidRDefault="00B05003" w:rsidP="00B05461">
            <w:pPr>
              <w:tabs>
                <w:tab w:val="left" w:pos="1260"/>
              </w:tabs>
              <w:jc w:val="center"/>
              <w:rPr>
                <w:b/>
                <w:bCs/>
              </w:rPr>
            </w:pPr>
            <w:r w:rsidRPr="00B05461">
              <w:rPr>
                <w:b/>
                <w:bCs/>
              </w:rPr>
              <w:t>Quantity for Two-</w:t>
            </w:r>
          </w:p>
          <w:p w14:paraId="06593418" w14:textId="50A312EF" w:rsidR="00B05003" w:rsidRPr="00B05461" w:rsidRDefault="00B05003" w:rsidP="00B05461">
            <w:pPr>
              <w:tabs>
                <w:tab w:val="left" w:pos="1260"/>
              </w:tabs>
              <w:jc w:val="center"/>
              <w:rPr>
                <w:b/>
                <w:bCs/>
              </w:rPr>
            </w:pPr>
            <w:r w:rsidRPr="00B05461">
              <w:rPr>
                <w:b/>
                <w:bCs/>
              </w:rPr>
              <w:t>Bedroom Unit</w:t>
            </w:r>
          </w:p>
        </w:tc>
        <w:tc>
          <w:tcPr>
            <w:tcW w:w="1703" w:type="dxa"/>
            <w:gridSpan w:val="2"/>
          </w:tcPr>
          <w:p w14:paraId="72E33C0F" w14:textId="77777777" w:rsidR="00B05003" w:rsidRPr="00B05461" w:rsidRDefault="00B05003" w:rsidP="00B05461">
            <w:pPr>
              <w:tabs>
                <w:tab w:val="left" w:pos="1260"/>
              </w:tabs>
              <w:jc w:val="center"/>
              <w:rPr>
                <w:b/>
                <w:bCs/>
              </w:rPr>
            </w:pPr>
            <w:r w:rsidRPr="00B05461">
              <w:rPr>
                <w:b/>
                <w:bCs/>
              </w:rPr>
              <w:t>Quantity for Three-Bedroom Unit</w:t>
            </w:r>
          </w:p>
        </w:tc>
        <w:tc>
          <w:tcPr>
            <w:tcW w:w="1717" w:type="dxa"/>
          </w:tcPr>
          <w:p w14:paraId="27303F42" w14:textId="74F28FCB" w:rsidR="00B05003" w:rsidRPr="00B05461" w:rsidRDefault="00B05003" w:rsidP="00B05461">
            <w:pPr>
              <w:tabs>
                <w:tab w:val="left" w:pos="1260"/>
              </w:tabs>
              <w:jc w:val="center"/>
              <w:rPr>
                <w:b/>
                <w:bCs/>
              </w:rPr>
            </w:pPr>
            <w:r w:rsidRPr="00B05461">
              <w:rPr>
                <w:b/>
                <w:bCs/>
              </w:rPr>
              <w:t xml:space="preserve">Quantity for </w:t>
            </w:r>
            <w:r>
              <w:rPr>
                <w:b/>
                <w:bCs/>
              </w:rPr>
              <w:t>Four</w:t>
            </w:r>
            <w:r w:rsidRPr="00B05461">
              <w:rPr>
                <w:b/>
                <w:bCs/>
              </w:rPr>
              <w:t>-Bedroom Unit</w:t>
            </w:r>
          </w:p>
        </w:tc>
      </w:tr>
      <w:tr w:rsidR="00B05003" w14:paraId="565D0F99" w14:textId="77777777" w:rsidTr="00B05003">
        <w:tc>
          <w:tcPr>
            <w:tcW w:w="4315" w:type="dxa"/>
          </w:tcPr>
          <w:p w14:paraId="32D67228" w14:textId="48DE2CE5" w:rsidR="00B05003" w:rsidRDefault="00B05003" w:rsidP="00B05461">
            <w:pPr>
              <w:tabs>
                <w:tab w:val="left" w:pos="1260"/>
              </w:tabs>
            </w:pPr>
            <w:r>
              <w:t>Twin Bed Mattress (Normal or XL)</w:t>
            </w:r>
          </w:p>
        </w:tc>
        <w:tc>
          <w:tcPr>
            <w:tcW w:w="1800" w:type="dxa"/>
          </w:tcPr>
          <w:p w14:paraId="67E63555" w14:textId="0C6EEB5E" w:rsidR="00B05003" w:rsidRDefault="00B05003" w:rsidP="00B05461">
            <w:pPr>
              <w:tabs>
                <w:tab w:val="left" w:pos="1260"/>
              </w:tabs>
              <w:jc w:val="center"/>
            </w:pPr>
            <w:r>
              <w:t>2</w:t>
            </w:r>
          </w:p>
        </w:tc>
        <w:tc>
          <w:tcPr>
            <w:tcW w:w="1639" w:type="dxa"/>
          </w:tcPr>
          <w:p w14:paraId="41B8B820" w14:textId="77777777" w:rsidR="00B05003" w:rsidRDefault="00B05003" w:rsidP="00B05461">
            <w:pPr>
              <w:tabs>
                <w:tab w:val="left" w:pos="1260"/>
              </w:tabs>
              <w:jc w:val="center"/>
            </w:pPr>
            <w:r>
              <w:t>4</w:t>
            </w:r>
          </w:p>
        </w:tc>
        <w:tc>
          <w:tcPr>
            <w:tcW w:w="1781" w:type="dxa"/>
            <w:gridSpan w:val="2"/>
          </w:tcPr>
          <w:p w14:paraId="0598EA31" w14:textId="188355E3" w:rsidR="00B05003" w:rsidRDefault="00B05003" w:rsidP="00B05461">
            <w:pPr>
              <w:tabs>
                <w:tab w:val="left" w:pos="1260"/>
              </w:tabs>
              <w:jc w:val="center"/>
            </w:pPr>
            <w:r>
              <w:t>6</w:t>
            </w:r>
          </w:p>
        </w:tc>
      </w:tr>
      <w:tr w:rsidR="00B05003" w14:paraId="547DCB2D" w14:textId="77777777" w:rsidTr="00B05003">
        <w:tc>
          <w:tcPr>
            <w:tcW w:w="4315" w:type="dxa"/>
          </w:tcPr>
          <w:p w14:paraId="4B2C4A75" w14:textId="37AE0463" w:rsidR="00B05003" w:rsidRDefault="00B05003" w:rsidP="00B05461">
            <w:pPr>
              <w:tabs>
                <w:tab w:val="left" w:pos="1260"/>
              </w:tabs>
            </w:pPr>
            <w:r>
              <w:t>Twin Bed Frame (Normal or XL)</w:t>
            </w:r>
          </w:p>
        </w:tc>
        <w:tc>
          <w:tcPr>
            <w:tcW w:w="1800" w:type="dxa"/>
          </w:tcPr>
          <w:p w14:paraId="7D31373A" w14:textId="6C958DE7" w:rsidR="00B05003" w:rsidRDefault="00B05003" w:rsidP="00B05461">
            <w:pPr>
              <w:tabs>
                <w:tab w:val="left" w:pos="1260"/>
              </w:tabs>
              <w:jc w:val="center"/>
            </w:pPr>
            <w:r>
              <w:t>2</w:t>
            </w:r>
          </w:p>
        </w:tc>
        <w:tc>
          <w:tcPr>
            <w:tcW w:w="1639" w:type="dxa"/>
          </w:tcPr>
          <w:p w14:paraId="0CB0C078" w14:textId="77777777" w:rsidR="00B05003" w:rsidRDefault="00B05003" w:rsidP="00B05461">
            <w:pPr>
              <w:tabs>
                <w:tab w:val="left" w:pos="1260"/>
              </w:tabs>
              <w:jc w:val="center"/>
            </w:pPr>
            <w:r>
              <w:t>4</w:t>
            </w:r>
          </w:p>
        </w:tc>
        <w:tc>
          <w:tcPr>
            <w:tcW w:w="1781" w:type="dxa"/>
            <w:gridSpan w:val="2"/>
          </w:tcPr>
          <w:p w14:paraId="6420AC45" w14:textId="018291C0" w:rsidR="00B05003" w:rsidRDefault="00B05003" w:rsidP="00B05461">
            <w:pPr>
              <w:tabs>
                <w:tab w:val="left" w:pos="1260"/>
              </w:tabs>
              <w:jc w:val="center"/>
            </w:pPr>
            <w:r>
              <w:t>6</w:t>
            </w:r>
          </w:p>
        </w:tc>
      </w:tr>
      <w:tr w:rsidR="00B05003" w14:paraId="7256910C" w14:textId="77777777" w:rsidTr="00B05003">
        <w:tc>
          <w:tcPr>
            <w:tcW w:w="4315" w:type="dxa"/>
          </w:tcPr>
          <w:p w14:paraId="78E85DB4" w14:textId="31FE9486" w:rsidR="00B05003" w:rsidRDefault="00B05003" w:rsidP="00B05461">
            <w:pPr>
              <w:tabs>
                <w:tab w:val="left" w:pos="1260"/>
              </w:tabs>
            </w:pPr>
            <w:r>
              <w:t>Queen Bed Mattress (can substitute Full)</w:t>
            </w:r>
          </w:p>
        </w:tc>
        <w:tc>
          <w:tcPr>
            <w:tcW w:w="1800" w:type="dxa"/>
          </w:tcPr>
          <w:p w14:paraId="055FB2DD" w14:textId="678AD249" w:rsidR="00B05003" w:rsidRDefault="00B05003" w:rsidP="00B05461">
            <w:pPr>
              <w:tabs>
                <w:tab w:val="left" w:pos="1260"/>
              </w:tabs>
              <w:jc w:val="center"/>
            </w:pPr>
            <w:r>
              <w:t>1</w:t>
            </w:r>
          </w:p>
        </w:tc>
        <w:tc>
          <w:tcPr>
            <w:tcW w:w="1639" w:type="dxa"/>
          </w:tcPr>
          <w:p w14:paraId="0B1949CD" w14:textId="77777777" w:rsidR="00B05003" w:rsidRDefault="00B05003" w:rsidP="00B05461">
            <w:pPr>
              <w:tabs>
                <w:tab w:val="left" w:pos="1260"/>
              </w:tabs>
              <w:jc w:val="center"/>
            </w:pPr>
            <w:r>
              <w:t>1</w:t>
            </w:r>
          </w:p>
        </w:tc>
        <w:tc>
          <w:tcPr>
            <w:tcW w:w="1781" w:type="dxa"/>
            <w:gridSpan w:val="2"/>
          </w:tcPr>
          <w:p w14:paraId="435D6E20" w14:textId="091E33A4" w:rsidR="00B05003" w:rsidRDefault="00B05003" w:rsidP="00B05461">
            <w:pPr>
              <w:tabs>
                <w:tab w:val="left" w:pos="1260"/>
              </w:tabs>
              <w:jc w:val="center"/>
            </w:pPr>
            <w:r>
              <w:t>1</w:t>
            </w:r>
          </w:p>
        </w:tc>
      </w:tr>
      <w:tr w:rsidR="00B05003" w14:paraId="78EA7565" w14:textId="77777777" w:rsidTr="00B05003">
        <w:tc>
          <w:tcPr>
            <w:tcW w:w="4315" w:type="dxa"/>
          </w:tcPr>
          <w:p w14:paraId="7E0767E0" w14:textId="7BAFEA40" w:rsidR="00B05003" w:rsidRDefault="00B05003" w:rsidP="00B05461">
            <w:pPr>
              <w:tabs>
                <w:tab w:val="left" w:pos="1260"/>
              </w:tabs>
            </w:pPr>
            <w:r>
              <w:t>Queen Bed Frame (can substitute Full)</w:t>
            </w:r>
          </w:p>
        </w:tc>
        <w:tc>
          <w:tcPr>
            <w:tcW w:w="1800" w:type="dxa"/>
          </w:tcPr>
          <w:p w14:paraId="7D28F994" w14:textId="6B55D157" w:rsidR="00B05003" w:rsidRDefault="00B05003" w:rsidP="00B05461">
            <w:pPr>
              <w:tabs>
                <w:tab w:val="left" w:pos="1260"/>
              </w:tabs>
              <w:jc w:val="center"/>
            </w:pPr>
            <w:r>
              <w:t>1</w:t>
            </w:r>
          </w:p>
        </w:tc>
        <w:tc>
          <w:tcPr>
            <w:tcW w:w="1639" w:type="dxa"/>
          </w:tcPr>
          <w:p w14:paraId="2BC08B4B" w14:textId="77777777" w:rsidR="00B05003" w:rsidRDefault="00B05003" w:rsidP="00B05461">
            <w:pPr>
              <w:tabs>
                <w:tab w:val="left" w:pos="1260"/>
              </w:tabs>
              <w:jc w:val="center"/>
            </w:pPr>
            <w:r>
              <w:t>1</w:t>
            </w:r>
          </w:p>
        </w:tc>
        <w:tc>
          <w:tcPr>
            <w:tcW w:w="1781" w:type="dxa"/>
            <w:gridSpan w:val="2"/>
          </w:tcPr>
          <w:p w14:paraId="27FB90B0" w14:textId="66AFD998" w:rsidR="00B05003" w:rsidRDefault="00B05003" w:rsidP="00B05461">
            <w:pPr>
              <w:tabs>
                <w:tab w:val="left" w:pos="1260"/>
              </w:tabs>
              <w:jc w:val="center"/>
            </w:pPr>
            <w:r>
              <w:t>1</w:t>
            </w:r>
          </w:p>
        </w:tc>
      </w:tr>
      <w:tr w:rsidR="00B05003" w14:paraId="4B45DABA" w14:textId="77777777" w:rsidTr="00B05003">
        <w:tc>
          <w:tcPr>
            <w:tcW w:w="4315" w:type="dxa"/>
          </w:tcPr>
          <w:p w14:paraId="55A68C24" w14:textId="3B2585C7" w:rsidR="00B05003" w:rsidRDefault="00B05003" w:rsidP="00B05461">
            <w:pPr>
              <w:tabs>
                <w:tab w:val="left" w:pos="1260"/>
              </w:tabs>
            </w:pPr>
            <w:proofErr w:type="gramStart"/>
            <w:r>
              <w:t>Night Stand</w:t>
            </w:r>
            <w:proofErr w:type="gramEnd"/>
            <w:r>
              <w:t xml:space="preserve"> or End Table or Coffee Table</w:t>
            </w:r>
          </w:p>
        </w:tc>
        <w:tc>
          <w:tcPr>
            <w:tcW w:w="1800" w:type="dxa"/>
          </w:tcPr>
          <w:p w14:paraId="715B2302" w14:textId="5EF07430" w:rsidR="00B05003" w:rsidRDefault="00B05003" w:rsidP="00B05461">
            <w:pPr>
              <w:tabs>
                <w:tab w:val="left" w:pos="1260"/>
              </w:tabs>
              <w:jc w:val="center"/>
            </w:pPr>
            <w:r>
              <w:t>1</w:t>
            </w:r>
          </w:p>
        </w:tc>
        <w:tc>
          <w:tcPr>
            <w:tcW w:w="1639" w:type="dxa"/>
          </w:tcPr>
          <w:p w14:paraId="0B9CE157" w14:textId="77777777" w:rsidR="00B05003" w:rsidRDefault="00B05003" w:rsidP="00B05461">
            <w:pPr>
              <w:tabs>
                <w:tab w:val="left" w:pos="1260"/>
              </w:tabs>
              <w:jc w:val="center"/>
            </w:pPr>
            <w:r>
              <w:t>2</w:t>
            </w:r>
          </w:p>
        </w:tc>
        <w:tc>
          <w:tcPr>
            <w:tcW w:w="1781" w:type="dxa"/>
            <w:gridSpan w:val="2"/>
          </w:tcPr>
          <w:p w14:paraId="505AED13" w14:textId="033B7859" w:rsidR="00B05003" w:rsidRDefault="00B05003" w:rsidP="00B05461">
            <w:pPr>
              <w:tabs>
                <w:tab w:val="left" w:pos="1260"/>
              </w:tabs>
              <w:jc w:val="center"/>
            </w:pPr>
            <w:r>
              <w:t>2</w:t>
            </w:r>
          </w:p>
        </w:tc>
      </w:tr>
      <w:tr w:rsidR="00B05003" w14:paraId="7DB1589C" w14:textId="77777777" w:rsidTr="00B05003">
        <w:tc>
          <w:tcPr>
            <w:tcW w:w="4315" w:type="dxa"/>
          </w:tcPr>
          <w:p w14:paraId="51E4EFD4" w14:textId="5F122BFE" w:rsidR="00B05003" w:rsidRDefault="00B05003" w:rsidP="00B05461">
            <w:pPr>
              <w:tabs>
                <w:tab w:val="left" w:pos="1260"/>
              </w:tabs>
            </w:pPr>
            <w:r>
              <w:t>Kitchen Table with Six Chairs</w:t>
            </w:r>
          </w:p>
        </w:tc>
        <w:tc>
          <w:tcPr>
            <w:tcW w:w="1800" w:type="dxa"/>
          </w:tcPr>
          <w:p w14:paraId="56D1852F" w14:textId="08D21890" w:rsidR="00B05003" w:rsidRDefault="00B05003" w:rsidP="00B05461">
            <w:pPr>
              <w:tabs>
                <w:tab w:val="left" w:pos="1260"/>
              </w:tabs>
              <w:jc w:val="center"/>
            </w:pPr>
            <w:r>
              <w:t>1</w:t>
            </w:r>
          </w:p>
        </w:tc>
        <w:tc>
          <w:tcPr>
            <w:tcW w:w="1639" w:type="dxa"/>
          </w:tcPr>
          <w:p w14:paraId="7B4DC99D" w14:textId="77777777" w:rsidR="00B05003" w:rsidRDefault="00B05003" w:rsidP="00B05461">
            <w:pPr>
              <w:tabs>
                <w:tab w:val="left" w:pos="1260"/>
              </w:tabs>
              <w:jc w:val="center"/>
            </w:pPr>
            <w:r>
              <w:t>1</w:t>
            </w:r>
          </w:p>
        </w:tc>
        <w:tc>
          <w:tcPr>
            <w:tcW w:w="1781" w:type="dxa"/>
            <w:gridSpan w:val="2"/>
          </w:tcPr>
          <w:p w14:paraId="3EEF4EDD" w14:textId="1B849B24" w:rsidR="00B05003" w:rsidRDefault="00B05003" w:rsidP="00B05461">
            <w:pPr>
              <w:tabs>
                <w:tab w:val="left" w:pos="1260"/>
              </w:tabs>
              <w:jc w:val="center"/>
            </w:pPr>
            <w:r>
              <w:t>1</w:t>
            </w:r>
          </w:p>
        </w:tc>
      </w:tr>
      <w:tr w:rsidR="00B05003" w14:paraId="39381011" w14:textId="77777777" w:rsidTr="00B05003">
        <w:tc>
          <w:tcPr>
            <w:tcW w:w="4315" w:type="dxa"/>
          </w:tcPr>
          <w:p w14:paraId="02254D1E" w14:textId="233DCF0E" w:rsidR="00B05003" w:rsidRDefault="00B05003" w:rsidP="00B05461">
            <w:pPr>
              <w:tabs>
                <w:tab w:val="left" w:pos="1260"/>
              </w:tabs>
            </w:pPr>
            <w:r>
              <w:t>Sofa or Loveseat</w:t>
            </w:r>
          </w:p>
        </w:tc>
        <w:tc>
          <w:tcPr>
            <w:tcW w:w="1800" w:type="dxa"/>
          </w:tcPr>
          <w:p w14:paraId="6C0C16FE" w14:textId="7C8B28EC" w:rsidR="00B05003" w:rsidRDefault="00B05003" w:rsidP="00B05461">
            <w:pPr>
              <w:tabs>
                <w:tab w:val="left" w:pos="1260"/>
              </w:tabs>
              <w:jc w:val="center"/>
            </w:pPr>
            <w:r>
              <w:t>1</w:t>
            </w:r>
          </w:p>
        </w:tc>
        <w:tc>
          <w:tcPr>
            <w:tcW w:w="1639" w:type="dxa"/>
          </w:tcPr>
          <w:p w14:paraId="53C13DDD" w14:textId="25E0BE54" w:rsidR="00B05003" w:rsidRDefault="00B05003" w:rsidP="00B05461">
            <w:pPr>
              <w:tabs>
                <w:tab w:val="left" w:pos="1260"/>
              </w:tabs>
              <w:jc w:val="center"/>
            </w:pPr>
            <w:r>
              <w:t>2*</w:t>
            </w:r>
          </w:p>
        </w:tc>
        <w:tc>
          <w:tcPr>
            <w:tcW w:w="1781" w:type="dxa"/>
            <w:gridSpan w:val="2"/>
          </w:tcPr>
          <w:p w14:paraId="26DAF6BA" w14:textId="39F265F2" w:rsidR="00B05003" w:rsidRDefault="00B05003" w:rsidP="00B05461">
            <w:pPr>
              <w:tabs>
                <w:tab w:val="left" w:pos="1260"/>
              </w:tabs>
              <w:jc w:val="center"/>
            </w:pPr>
            <w:r>
              <w:t>2*</w:t>
            </w:r>
          </w:p>
        </w:tc>
      </w:tr>
      <w:tr w:rsidR="00B05003" w14:paraId="6ACC00AE" w14:textId="77777777" w:rsidTr="00B05003">
        <w:tc>
          <w:tcPr>
            <w:tcW w:w="4315" w:type="dxa"/>
          </w:tcPr>
          <w:p w14:paraId="1B2FF0AF" w14:textId="465E1883" w:rsidR="00B05003" w:rsidRDefault="00B05003" w:rsidP="00B05461">
            <w:pPr>
              <w:tabs>
                <w:tab w:val="left" w:pos="1260"/>
              </w:tabs>
            </w:pPr>
            <w:r>
              <w:t>Recliner or Living Room Chair</w:t>
            </w:r>
          </w:p>
        </w:tc>
        <w:tc>
          <w:tcPr>
            <w:tcW w:w="1800" w:type="dxa"/>
          </w:tcPr>
          <w:p w14:paraId="1931284B" w14:textId="0954E32D" w:rsidR="00B05003" w:rsidRDefault="00B05003" w:rsidP="00B05461">
            <w:pPr>
              <w:tabs>
                <w:tab w:val="left" w:pos="1260"/>
              </w:tabs>
              <w:jc w:val="center"/>
            </w:pPr>
            <w:r>
              <w:t>1</w:t>
            </w:r>
          </w:p>
        </w:tc>
        <w:tc>
          <w:tcPr>
            <w:tcW w:w="1639" w:type="dxa"/>
          </w:tcPr>
          <w:p w14:paraId="18C61F02" w14:textId="77777777" w:rsidR="00B05003" w:rsidRDefault="00B05003" w:rsidP="00B05461">
            <w:pPr>
              <w:tabs>
                <w:tab w:val="left" w:pos="1260"/>
              </w:tabs>
              <w:jc w:val="center"/>
            </w:pPr>
            <w:r>
              <w:t>1</w:t>
            </w:r>
          </w:p>
        </w:tc>
        <w:tc>
          <w:tcPr>
            <w:tcW w:w="1781" w:type="dxa"/>
            <w:gridSpan w:val="2"/>
          </w:tcPr>
          <w:p w14:paraId="0DE37A00" w14:textId="4A63B223" w:rsidR="00B05003" w:rsidRDefault="00B05003" w:rsidP="00B05461">
            <w:pPr>
              <w:tabs>
                <w:tab w:val="left" w:pos="1260"/>
              </w:tabs>
              <w:jc w:val="center"/>
            </w:pPr>
            <w:r>
              <w:t>1</w:t>
            </w:r>
          </w:p>
        </w:tc>
      </w:tr>
      <w:tr w:rsidR="00B05003" w14:paraId="74E86CC0" w14:textId="77777777" w:rsidTr="00B05003">
        <w:tc>
          <w:tcPr>
            <w:tcW w:w="4315" w:type="dxa"/>
          </w:tcPr>
          <w:p w14:paraId="55FEAB20" w14:textId="11DD3BFD" w:rsidR="00B05003" w:rsidRDefault="00B05003" w:rsidP="00B05461">
            <w:pPr>
              <w:tabs>
                <w:tab w:val="left" w:pos="1260"/>
              </w:tabs>
            </w:pPr>
            <w:r>
              <w:t>Lamp</w:t>
            </w:r>
          </w:p>
        </w:tc>
        <w:tc>
          <w:tcPr>
            <w:tcW w:w="1800" w:type="dxa"/>
          </w:tcPr>
          <w:p w14:paraId="25F7D28D" w14:textId="31C3DDDC" w:rsidR="00B05003" w:rsidRDefault="00B05003" w:rsidP="00B05461">
            <w:pPr>
              <w:tabs>
                <w:tab w:val="left" w:pos="1260"/>
              </w:tabs>
              <w:jc w:val="center"/>
            </w:pPr>
            <w:r>
              <w:t>1</w:t>
            </w:r>
          </w:p>
        </w:tc>
        <w:tc>
          <w:tcPr>
            <w:tcW w:w="1639" w:type="dxa"/>
          </w:tcPr>
          <w:p w14:paraId="57C098E3" w14:textId="77777777" w:rsidR="00B05003" w:rsidRDefault="00B05003" w:rsidP="00B05461">
            <w:pPr>
              <w:tabs>
                <w:tab w:val="left" w:pos="1260"/>
              </w:tabs>
              <w:jc w:val="center"/>
            </w:pPr>
            <w:r>
              <w:t>2</w:t>
            </w:r>
          </w:p>
        </w:tc>
        <w:tc>
          <w:tcPr>
            <w:tcW w:w="1781" w:type="dxa"/>
            <w:gridSpan w:val="2"/>
          </w:tcPr>
          <w:p w14:paraId="2F554297" w14:textId="6DB5B2E4" w:rsidR="00B05003" w:rsidRDefault="00B05003" w:rsidP="00B05461">
            <w:pPr>
              <w:tabs>
                <w:tab w:val="left" w:pos="1260"/>
              </w:tabs>
              <w:jc w:val="center"/>
            </w:pPr>
            <w:r>
              <w:t>2</w:t>
            </w:r>
          </w:p>
        </w:tc>
      </w:tr>
    </w:tbl>
    <w:p w14:paraId="05E10DF2" w14:textId="77777777" w:rsidR="00B05003" w:rsidRDefault="00B05003" w:rsidP="00B05461">
      <w:pPr>
        <w:tabs>
          <w:tab w:val="left" w:pos="1260"/>
        </w:tabs>
        <w:rPr>
          <w:i/>
          <w:iCs/>
        </w:rPr>
      </w:pPr>
    </w:p>
    <w:p w14:paraId="4A0EBB90" w14:textId="2C3EF245" w:rsidR="00B05461" w:rsidRPr="00B05003" w:rsidRDefault="00B05003" w:rsidP="00B05461">
      <w:pPr>
        <w:tabs>
          <w:tab w:val="left" w:pos="1260"/>
        </w:tabs>
        <w:rPr>
          <w:i/>
          <w:iCs/>
        </w:rPr>
      </w:pPr>
      <w:r w:rsidRPr="00B05003">
        <w:rPr>
          <w:i/>
          <w:iCs/>
        </w:rPr>
        <w:t>*In the three-bedroom and four-bedroom units, one sofa or loveseat can be replaceable with two recliners or living room chairs.</w:t>
      </w:r>
    </w:p>
    <w:p w14:paraId="0C3A1B88" w14:textId="77777777" w:rsidR="00B05003" w:rsidRDefault="00B05003" w:rsidP="00B05461">
      <w:pPr>
        <w:tabs>
          <w:tab w:val="left" w:pos="1260"/>
        </w:tabs>
      </w:pPr>
    </w:p>
    <w:p w14:paraId="6EDF4C45" w14:textId="0605166E" w:rsidR="00EB33CA" w:rsidRDefault="00EB33CA" w:rsidP="00B05461">
      <w:pPr>
        <w:tabs>
          <w:tab w:val="left" w:pos="1260"/>
        </w:tabs>
      </w:pPr>
      <w:r>
        <w:t>Furniture Bank initial: _________</w:t>
      </w:r>
    </w:p>
    <w:p w14:paraId="539DB00E" w14:textId="6377E4B9" w:rsidR="00EB33CA" w:rsidRDefault="00EB33CA" w:rsidP="00B05461">
      <w:pPr>
        <w:tabs>
          <w:tab w:val="left" w:pos="1260"/>
        </w:tabs>
      </w:pPr>
    </w:p>
    <w:p w14:paraId="098E6CAB" w14:textId="3E347E2D" w:rsidR="00EB33CA" w:rsidRPr="00B05461" w:rsidRDefault="00EB33CA" w:rsidP="00B05461">
      <w:pPr>
        <w:tabs>
          <w:tab w:val="left" w:pos="1260"/>
        </w:tabs>
      </w:pPr>
      <w:r>
        <w:t>Shelter Provider initial: ________</w:t>
      </w:r>
    </w:p>
    <w:sectPr w:rsidR="00EB33CA" w:rsidRPr="00B05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MS Mincho"/>
    <w:charset w:val="8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231D7"/>
    <w:multiLevelType w:val="hybridMultilevel"/>
    <w:tmpl w:val="08EEDEE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F0AEE"/>
    <w:multiLevelType w:val="hybridMultilevel"/>
    <w:tmpl w:val="D16804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C6426"/>
    <w:multiLevelType w:val="hybridMultilevel"/>
    <w:tmpl w:val="1972A4FE"/>
    <w:lvl w:ilvl="0" w:tplc="6C1E1D4A">
      <w:start w:val="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5D7CAE"/>
    <w:multiLevelType w:val="hybridMultilevel"/>
    <w:tmpl w:val="D02CE14C"/>
    <w:lvl w:ilvl="0" w:tplc="A6AA3B22">
      <w:start w:val="4"/>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1CB"/>
    <w:rsid w:val="00000EF2"/>
    <w:rsid w:val="000A5406"/>
    <w:rsid w:val="001D7808"/>
    <w:rsid w:val="00205AC3"/>
    <w:rsid w:val="002346FA"/>
    <w:rsid w:val="00244745"/>
    <w:rsid w:val="00285138"/>
    <w:rsid w:val="00316295"/>
    <w:rsid w:val="003203D2"/>
    <w:rsid w:val="00401D31"/>
    <w:rsid w:val="004256E3"/>
    <w:rsid w:val="00427A19"/>
    <w:rsid w:val="00484BDB"/>
    <w:rsid w:val="004A6042"/>
    <w:rsid w:val="00543227"/>
    <w:rsid w:val="00557A16"/>
    <w:rsid w:val="00591829"/>
    <w:rsid w:val="006402DF"/>
    <w:rsid w:val="006E1A33"/>
    <w:rsid w:val="007A0353"/>
    <w:rsid w:val="007E76BF"/>
    <w:rsid w:val="0087267D"/>
    <w:rsid w:val="00887E57"/>
    <w:rsid w:val="00890AA2"/>
    <w:rsid w:val="008E0510"/>
    <w:rsid w:val="009365C8"/>
    <w:rsid w:val="009A2EE5"/>
    <w:rsid w:val="009D2C0C"/>
    <w:rsid w:val="009D5DAF"/>
    <w:rsid w:val="009F2D2E"/>
    <w:rsid w:val="009F503C"/>
    <w:rsid w:val="00A36DDE"/>
    <w:rsid w:val="00A512A7"/>
    <w:rsid w:val="00A72125"/>
    <w:rsid w:val="00B04F7A"/>
    <w:rsid w:val="00B05003"/>
    <w:rsid w:val="00B05461"/>
    <w:rsid w:val="00C57AA4"/>
    <w:rsid w:val="00C70D3E"/>
    <w:rsid w:val="00D409BB"/>
    <w:rsid w:val="00D8737A"/>
    <w:rsid w:val="00DA6291"/>
    <w:rsid w:val="00E45BC3"/>
    <w:rsid w:val="00EB33CA"/>
    <w:rsid w:val="00F55BD2"/>
    <w:rsid w:val="00F83A01"/>
    <w:rsid w:val="00FE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EA9F"/>
  <w15:chartTrackingRefBased/>
  <w15:docId w15:val="{B9BF1276-DAAB-48C6-9654-DB517341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1C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1CB"/>
    <w:rPr>
      <w:color w:val="0000FF"/>
      <w:u w:val="single"/>
    </w:rPr>
  </w:style>
  <w:style w:type="paragraph" w:styleId="BalloonText">
    <w:name w:val="Balloon Text"/>
    <w:basedOn w:val="Normal"/>
    <w:link w:val="BalloonTextChar"/>
    <w:uiPriority w:val="99"/>
    <w:semiHidden/>
    <w:unhideWhenUsed/>
    <w:rsid w:val="00234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6FA"/>
    <w:rPr>
      <w:rFonts w:ascii="Segoe UI" w:hAnsi="Segoe UI" w:cs="Segoe UI"/>
      <w:sz w:val="18"/>
      <w:szCs w:val="18"/>
    </w:rPr>
  </w:style>
  <w:style w:type="paragraph" w:styleId="Header">
    <w:name w:val="header"/>
    <w:basedOn w:val="Normal"/>
    <w:link w:val="HeaderChar"/>
    <w:semiHidden/>
    <w:unhideWhenUsed/>
    <w:rsid w:val="00244745"/>
    <w:pPr>
      <w:widowControl w:val="0"/>
      <w:tabs>
        <w:tab w:val="center" w:pos="4680"/>
        <w:tab w:val="right" w:pos="9360"/>
      </w:tabs>
      <w:suppressAutoHyphens/>
    </w:pPr>
    <w:rPr>
      <w:rFonts w:eastAsia="Droid Sans Fallback" w:cs="Mangal"/>
      <w:kern w:val="2"/>
      <w:szCs w:val="21"/>
      <w:lang w:eastAsia="zh-CN" w:bidi="hi-IN"/>
    </w:rPr>
  </w:style>
  <w:style w:type="character" w:customStyle="1" w:styleId="HeaderChar">
    <w:name w:val="Header Char"/>
    <w:basedOn w:val="DefaultParagraphFont"/>
    <w:link w:val="Header"/>
    <w:semiHidden/>
    <w:rsid w:val="00244745"/>
    <w:rPr>
      <w:rFonts w:ascii="Times New Roman" w:eastAsia="Droid Sans Fallback" w:hAnsi="Times New Roman" w:cs="Mangal"/>
      <w:kern w:val="2"/>
      <w:sz w:val="24"/>
      <w:szCs w:val="21"/>
      <w:lang w:eastAsia="zh-CN" w:bidi="hi-IN"/>
    </w:rPr>
  </w:style>
  <w:style w:type="paragraph" w:styleId="Footer">
    <w:name w:val="footer"/>
    <w:basedOn w:val="Normal"/>
    <w:link w:val="FooterChar"/>
    <w:semiHidden/>
    <w:unhideWhenUsed/>
    <w:rsid w:val="00244745"/>
    <w:pPr>
      <w:widowControl w:val="0"/>
      <w:tabs>
        <w:tab w:val="center" w:pos="4680"/>
        <w:tab w:val="right" w:pos="9360"/>
      </w:tabs>
      <w:suppressAutoHyphens/>
    </w:pPr>
    <w:rPr>
      <w:rFonts w:eastAsia="Droid Sans Fallback" w:cs="Mangal"/>
      <w:kern w:val="2"/>
      <w:szCs w:val="21"/>
      <w:lang w:eastAsia="zh-CN" w:bidi="hi-IN"/>
    </w:rPr>
  </w:style>
  <w:style w:type="character" w:customStyle="1" w:styleId="FooterChar">
    <w:name w:val="Footer Char"/>
    <w:basedOn w:val="DefaultParagraphFont"/>
    <w:link w:val="Footer"/>
    <w:semiHidden/>
    <w:rsid w:val="00244745"/>
    <w:rPr>
      <w:rFonts w:ascii="Times New Roman" w:eastAsia="Droid Sans Fallback" w:hAnsi="Times New Roman" w:cs="Mangal"/>
      <w:kern w:val="2"/>
      <w:sz w:val="24"/>
      <w:szCs w:val="21"/>
      <w:lang w:eastAsia="zh-CN" w:bidi="hi-IN"/>
    </w:rPr>
  </w:style>
  <w:style w:type="paragraph" w:styleId="ListParagraph">
    <w:name w:val="List Paragraph"/>
    <w:basedOn w:val="Normal"/>
    <w:uiPriority w:val="34"/>
    <w:qFormat/>
    <w:rsid w:val="004256E3"/>
    <w:pPr>
      <w:ind w:left="720"/>
      <w:contextualSpacing/>
    </w:pPr>
  </w:style>
  <w:style w:type="table" w:styleId="TableGrid">
    <w:name w:val="Table Grid"/>
    <w:basedOn w:val="TableNormal"/>
    <w:uiPriority w:val="39"/>
    <w:rsid w:val="00B05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64">
      <w:bodyDiv w:val="1"/>
      <w:marLeft w:val="0"/>
      <w:marRight w:val="0"/>
      <w:marTop w:val="0"/>
      <w:marBottom w:val="0"/>
      <w:divBdr>
        <w:top w:val="none" w:sz="0" w:space="0" w:color="auto"/>
        <w:left w:val="none" w:sz="0" w:space="0" w:color="auto"/>
        <w:bottom w:val="none" w:sz="0" w:space="0" w:color="auto"/>
        <w:right w:val="none" w:sz="0" w:space="0" w:color="auto"/>
      </w:divBdr>
    </w:div>
    <w:div w:id="640425099">
      <w:bodyDiv w:val="1"/>
      <w:marLeft w:val="0"/>
      <w:marRight w:val="0"/>
      <w:marTop w:val="0"/>
      <w:marBottom w:val="0"/>
      <w:divBdr>
        <w:top w:val="none" w:sz="0" w:space="0" w:color="auto"/>
        <w:left w:val="none" w:sz="0" w:space="0" w:color="auto"/>
        <w:bottom w:val="none" w:sz="0" w:space="0" w:color="auto"/>
        <w:right w:val="none" w:sz="0" w:space="0" w:color="auto"/>
      </w:divBdr>
    </w:div>
    <w:div w:id="7020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Chapuran</dc:creator>
  <cp:keywords/>
  <dc:description/>
  <cp:lastModifiedBy>Mike Chapuran</cp:lastModifiedBy>
  <cp:revision>6</cp:revision>
  <cp:lastPrinted>2017-12-20T18:37:00Z</cp:lastPrinted>
  <dcterms:created xsi:type="dcterms:W3CDTF">2020-05-15T17:10:00Z</dcterms:created>
  <dcterms:modified xsi:type="dcterms:W3CDTF">2020-05-15T18:35:00Z</dcterms:modified>
</cp:coreProperties>
</file>